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沙子买卖合同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根据《中华人民共和国合同法》及其他相关法律法规的有关规定，甲乙双方在自愿平等的基础上经过友好协商签订本合同，以资双方共同遵守。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一、标的物信息</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lang w:val="en-US"/>
        </w:rPr>
        <w:t>        </w:t>
      </w:r>
      <w:r>
        <w:rPr>
          <w:rFonts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2.产地：</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3.用途：</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4.重量：</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1.乙方所供的沙应为</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2.规格要求：</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3.含泥量小于</w:t>
      </w:r>
      <w:r>
        <w:rPr>
          <w:rFonts w:hint="eastAsia" w:ascii="宋体" w:hAnsi="宋体" w:eastAsia="宋体" w:cs="宋体"/>
          <w:sz w:val="24"/>
          <w:szCs w:val="24"/>
          <w:u w:val="single"/>
        </w:rPr>
        <w:t>    </w:t>
      </w:r>
      <w:r>
        <w:rPr>
          <w:rFonts w:hint="eastAsia" w:ascii="宋体" w:hAnsi="宋体" w:eastAsia="宋体" w:cs="宋体"/>
          <w:sz w:val="24"/>
          <w:szCs w:val="24"/>
        </w:rPr>
        <w:t>%，泥块含量小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三、供货方式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乙方接到甲方要货通知后</w:t>
      </w:r>
      <w:r>
        <w:rPr>
          <w:rFonts w:hint="eastAsia" w:ascii="宋体" w:hAnsi="宋体" w:eastAsia="宋体" w:cs="宋体"/>
          <w:sz w:val="24"/>
          <w:szCs w:val="24"/>
          <w:u w:val="single"/>
        </w:rPr>
        <w:t>    </w:t>
      </w:r>
      <w:r>
        <w:rPr>
          <w:rFonts w:hint="eastAsia" w:ascii="宋体" w:hAnsi="宋体" w:eastAsia="宋体" w:cs="宋体"/>
          <w:sz w:val="24"/>
          <w:szCs w:val="24"/>
        </w:rPr>
        <w:t>小时内，将货物装于甲方运输车上，如乙</w:t>
      </w:r>
      <w:r>
        <w:rPr>
          <w:rFonts w:hint="eastAsia" w:ascii="宋体" w:hAnsi="宋体" w:eastAsia="宋体" w:cs="宋体"/>
          <w:sz w:val="24"/>
          <w:szCs w:val="24"/>
          <w:u w:val="single"/>
        </w:rPr>
        <w:t>    </w:t>
      </w:r>
      <w:r>
        <w:rPr>
          <w:rFonts w:hint="eastAsia" w:ascii="宋体" w:hAnsi="宋体" w:eastAsia="宋体" w:cs="宋体"/>
          <w:sz w:val="24"/>
          <w:szCs w:val="24"/>
        </w:rPr>
        <w:t>次供货不及时，甲方有权扣除货款违约金人民币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四、价款与结算方式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1.本合同的价款是人民币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2.乙方凭收方单与甲方对账，付款时乙方要向甲方出具正式税务发票。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3.付款方式：甲方委托银行转账支付给乙方，甲方不能按时支付货款，乙方有权中止，待甲方支付合同相应价款后再履行合同。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五、验收方式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1.甲方根据行规制定具体验收标准，并据此进行验收与计量。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2.以甲方收方数量为准，但必须将双方核实，乙方有权随时对收方量进行抽查，如有异议，须经双方协商解决。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3.每批货物装至甲方运输车后，甲方进行抽检后合格的，但在实际使用过程中，发现有不合格的产品（人为除外），甲方应及时通知乙方，乙方应给予更换并承担全部的违约责任。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1.乙方所交产品质量不符合规定的，如果甲方同意利用，应当按质论价；如果甲方不能利用的，应根据产品的具体情况，由乙方负责包换或退货，因质量问题所产生的一切经济损失由乙方全部并承担。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乙方如不能按照甲方所通知的时间供货，或者逾期交货，逾期交货的违约金为当次货款的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1.甲方无正当理由中途退货的，应向乙方偿付退货部分货款</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2.逾期付款的，应按人民银行有关延期付款的规定向乙方偿付逾期付款违约金人民币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2019-06-28T10:30:13Z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