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 </w:t>
      </w:r>
      <w:r>
        <w:rPr>
          <w:rStyle w:val="8"/>
          <w:rFonts w:hint="eastAsia" w:ascii="宋体" w:hAnsi="宋体" w:eastAsia="宋体" w:cs="宋体"/>
          <w:b/>
          <w:sz w:val="32"/>
          <w:szCs w:val="32"/>
        </w:rPr>
        <w:t>CFG桩基工程施工合同项目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 xml:space="preserve">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协议书</w:t>
      </w:r>
    </w:p>
    <w:tbl>
      <w:tblPr>
        <w:tblpPr w:vertAnchor="text" w:tblpXSpec="left"/>
        <w:tblW w:w="1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30"/>
        <w:gridCol w:w="7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发包方（以下简称甲方）：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承包方（以下简称乙方）：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为了明确甲乙双方的权利和义务，根据《中华人民共和国合同法》、《中华人民共和国建筑法》和其它有关法律规定，结合本工程实际情况签订此合同，双方共同遵守。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3.工程内容：工程桩总根数：</w:t>
      </w:r>
      <w:r>
        <w:rPr>
          <w:rFonts w:hint="eastAsia" w:ascii="宋体" w:hAnsi="宋体" w:eastAsia="宋体" w:cs="宋体"/>
          <w:sz w:val="24"/>
          <w:szCs w:val="24"/>
          <w:u w:val="single"/>
        </w:rPr>
        <w:t>    </w:t>
      </w:r>
      <w:r>
        <w:rPr>
          <w:rFonts w:hint="eastAsia" w:ascii="宋体" w:hAnsi="宋体" w:eastAsia="宋体" w:cs="宋体"/>
          <w:sz w:val="24"/>
          <w:szCs w:val="24"/>
        </w:rPr>
        <w:t>根，桩径为</w:t>
      </w:r>
      <w:r>
        <w:rPr>
          <w:rFonts w:hint="eastAsia" w:ascii="宋体" w:hAnsi="宋体" w:eastAsia="宋体" w:cs="宋体"/>
          <w:sz w:val="24"/>
          <w:szCs w:val="24"/>
          <w:u w:val="single"/>
        </w:rPr>
        <w:t>    </w:t>
      </w:r>
      <w:r>
        <w:rPr>
          <w:rFonts w:hint="eastAsia" w:ascii="宋体" w:hAnsi="宋体" w:eastAsia="宋体" w:cs="宋体"/>
          <w:sz w:val="24"/>
          <w:szCs w:val="24"/>
        </w:rPr>
        <w:t>mm，合计桩长为</w:t>
      </w:r>
      <w:r>
        <w:rPr>
          <w:rFonts w:hint="eastAsia" w:ascii="宋体" w:hAnsi="宋体" w:eastAsia="宋体" w:cs="宋体"/>
          <w:sz w:val="24"/>
          <w:szCs w:val="24"/>
          <w:u w:val="single"/>
        </w:rPr>
        <w:t>    </w:t>
      </w:r>
      <w:r>
        <w:rPr>
          <w:rFonts w:hint="eastAsia" w:ascii="宋体" w:hAnsi="宋体" w:eastAsia="宋体" w:cs="宋体"/>
          <w:sz w:val="24"/>
          <w:szCs w:val="24"/>
        </w:rPr>
        <w:t>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4.总建筑面积：约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等范围内本工程CFG桩的所有施工工序及提供测桩用的桩帽。同时负责桩基交工资料的整理，施工期间现场的全面管理，同时配合桩基检测直至检测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2.承包方式：包人工、包辅材、包机械。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三、工程造价、结算单价及结算原则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1.工程暂定总价：约人民币（大写）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2.结算不含税单价：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CFG桩（标号C   、桩径￠mm）综合结算不含税单价：人民币</w:t>
      </w:r>
      <w:r>
        <w:rPr>
          <w:rFonts w:hint="eastAsia" w:ascii="宋体" w:hAnsi="宋体" w:eastAsia="宋体" w:cs="宋体"/>
          <w:sz w:val="24"/>
          <w:szCs w:val="24"/>
          <w:u w:val="single"/>
        </w:rPr>
        <w:t>    </w:t>
      </w:r>
      <w:r>
        <w:rPr>
          <w:rFonts w:hint="eastAsia" w:ascii="宋体" w:hAnsi="宋体" w:eastAsia="宋体" w:cs="宋体"/>
          <w:sz w:val="24"/>
          <w:szCs w:val="24"/>
        </w:rPr>
        <w:t>元/米。综合结算不含税单价包含但不限于人工费、材料费（除混凝土材料甲供外）、机械费、综合费用、措施费、管理费、规费、利润等，含空桩费用、翻浆、充盈系数、损耗及所有施工机械进出场费用，含工程临设、桩位放样、桩基检测等配合费用及打桩工具，移动打桩机，钻杆就位、校正、钻孔，将土运至施工指定地点，灌注浇捣商品混凝土、养护和组织桩基验收等完成桩基施工必备各工序的费用。此单价还包括材料保管、材料丢失等费用及因施工产生的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（2）本合同签订后，省市建设主管部门任何有关造价管理调整的文件均不作为计价依据，综合单价不因市场价格的波动、政府政策性调价变动等而调整。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（1）暂估总价=总桩长×结算单价，其中：总桩长为设计总有效长度（不含翻浆）。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（2）本工程工程量应由甲方、监理工程师共同认可的实际完工的CFG桩桩身长（即以设计桩顶标高（不含翻浆高度）至实际施工的桩底标高）乘以综合单价进行结算。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实际施工的桩顶标高（不含0.5米翻浆高度）低于设计桩顶标高，因修复或弥补所发生的相应材料和人工、机械费用均由乙方承担；如实际施工的桩顶标高（含0.5米翻浆高度）高于设计桩顶标高的部分高于0.5米，高出的部分混凝土材料由乙方承担；如实际施工的桩顶标高（含0.5米翻浆高度）高于设计桩顶标高的部分不足0.5米，不足部分按照合同单价从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（4）本工程桩基施工过程中因甲方原因造成断桩由甲方负责，由乙方原因造成断桩由乙方负责。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施工及生活水电费由乙方承担，取费方法如下：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（1）施工水电取费方法：乙方在施工现场设立施工专用水、电计量设施，乙方施工水电费用标准按     市自来水公司、市电业局规定的价格结算，甲方为乙方代缴水电费的，从乙方工程进度款中扣除（水电费已含在合同价中）。由甲方会同乙方共同抄表后，乙方代表应当立即确认并在抄表记录上签字，分摊部分甲方另行通知。水电费计费办法为：（分表数额+总表损耗分摊数）×市现行收费单价。甲方为乙方代缴水电费，只能为乙方开具水电费收据，乙方应为甲方开具全额施工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（2）生活水电费用由项目部根据现场实际费用进行分摊。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1.每栋桩基施工工程全部完毕，乙方提出申请并经过甲方书面确认后40个日历天内，甲方支付该栋楼合同造价的80%。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合同内所有桩基，经验收合格（桩基质量达到设计要求的承载力等质量标准）并完成合同明确的施工进度和安全要求时办理竣工结算，待竣工资料及结算资料交付齐全、正确、手续完备经集团终审完成且双方确认工程结算办理完毕后40个日历天内，甲方付至合同结算总价的97%，乙方应提供结算总价全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3.余留3%作为保修金，于保修期期满且无质量问题和违约责任后无息一次付清。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4.每月25日前申请本月完成工程量进度款，每月仅允许申请一次进度款。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5.甲方每次付款均以转账形式汇入乙方账号，乙方每次均应提供相应工人工资表与收据。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6.工程安全、质量、工期保证金的交纳与退还：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（1）乙方按施工面积人民币</w:t>
      </w:r>
      <w:r>
        <w:rPr>
          <w:rFonts w:hint="eastAsia" w:ascii="宋体" w:hAnsi="宋体" w:eastAsia="宋体" w:cs="宋体"/>
          <w:sz w:val="24"/>
          <w:szCs w:val="24"/>
          <w:u w:val="single"/>
        </w:rPr>
        <w:t>    </w:t>
      </w:r>
      <w:r>
        <w:rPr>
          <w:rFonts w:hint="eastAsia" w:ascii="宋体" w:hAnsi="宋体" w:eastAsia="宋体" w:cs="宋体"/>
          <w:sz w:val="24"/>
          <w:szCs w:val="24"/>
        </w:rPr>
        <w:t>元/m2向甲方交纳工程保证金，进场施工前一次性汇入甲方指定帐户；其中40％作为安全保证金，30％作为工期保证金，30％作为质量保证金。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完成工程量的一半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7.甲方在支付每月工程款时有权扣除乙方在本合同履行过程中因违反质量、安全、文明施工、工期等有关条款需要承担的违约金金额及甲方的其他损失。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六、质量要求及验收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施工、检验及验收标准：按国家规定的《地基基础工程质量验收规范》、《建筑桩基技术规范》（JGJ94-2008）、《建筑基桩检测技术规范》（JGJ106-2003）标准执行以及甲方确认的质量标准、国家规范、规程进行施工，设计施工图纸、材料，符合相关规范、规程和行业技术标准。Ⅰ类桩、Ⅱ类桩按桩基有关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评定：本工程项目质量评定由甲方组织有关人员评定并经质检部门、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5.工程验收管理：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（1）工程完工后，乙方通过自检认为工程具备竣工验收条件，应于竣工验收前 5天向监理单位及甲方提供 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（2）乙方应在工程竣工验收后 7 日内完成甲方提出的整改内容，并通过复验。复验合格后，撤出全部临建、施工人员、机械设备和剩余材料，并负责清除自身遗留垃圾，做到场平料清，并不得向甲方收取任何费用。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1.附件一：《工程造价汇总表》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附件一：工程造价汇总表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46"/>
        <w:gridCol w:w="1150"/>
        <w:gridCol w:w="1161"/>
        <w:gridCol w:w="1266"/>
        <w:gridCol w:w="1485"/>
        <w:gridCol w:w="1216"/>
        <w:gridCol w:w="1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栋号</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桩径MM</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桩长M</w:t>
            </w:r>
          </w:p>
        </w:tc>
        <w:tc>
          <w:tcPr>
            <w:tcW w:w="1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根数</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暂定总桩长M</w:t>
            </w:r>
          </w:p>
        </w:tc>
        <w:tc>
          <w:tcPr>
            <w:tcW w:w="12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合同单价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w:t>
            </w:r>
          </w:p>
        </w:tc>
        <w:tc>
          <w:tcPr>
            <w:tcW w:w="16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暂定合同总价（元）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2.屋面防水工程、有防水要求的卫生间、房间和外墙面的防渗为伍年；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双方约定的其他工程质量保修事项：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44C75D3"/>
    <w:rsid w:val="15FC682A"/>
    <w:rsid w:val="169178A8"/>
    <w:rsid w:val="188B412E"/>
    <w:rsid w:val="1CFB3B6D"/>
    <w:rsid w:val="1F080694"/>
    <w:rsid w:val="2C8F5BED"/>
    <w:rsid w:val="3F3B6338"/>
    <w:rsid w:val="465D0EB8"/>
    <w:rsid w:val="4BF6232F"/>
    <w:rsid w:val="56F93658"/>
    <w:rsid w:val="5A7F51BA"/>
    <w:rsid w:val="5B932D72"/>
    <w:rsid w:val="5B9E73B3"/>
    <w:rsid w:val="5C4B4817"/>
    <w:rsid w:val="619D2689"/>
    <w:rsid w:val="6514228F"/>
    <w:rsid w:val="666E5768"/>
    <w:rsid w:val="6A302E64"/>
    <w:rsid w:val="6B3270BA"/>
    <w:rsid w:val="70DA3DD5"/>
    <w:rsid w:val="762A1001"/>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