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pPr>
      <w:r>
        <w:t>供用水合同</w:t>
      </w:r>
    </w:p>
    <w:p>
      <w:pPr>
        <w:widowControl/>
        <w:shd w:val="clear" w:color="auto" w:fill="FFFFFF" w:themeFill="background1"/>
        <w:wordWrap w:val="0"/>
        <w:spacing w:after="312" w:afterLines="100" w:line="360" w:lineRule="auto"/>
        <w:jc w:val="right"/>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合同编号：</w:t>
      </w:r>
      <w:r>
        <w:rPr>
          <w:rFonts w:hint="eastAsia" w:ascii="宋体" w:hAnsi="宋体" w:eastAsia="宋体" w:cs="Helvetica"/>
          <w:color w:val="000000"/>
          <w:kern w:val="0"/>
          <w:sz w:val="24"/>
          <w:szCs w:val="24"/>
          <w:u w:val="single"/>
        </w:rPr>
        <w:t xml:space="preserve">          </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甲方（供水人）：</w:t>
      </w:r>
      <w:r>
        <w:rPr>
          <w:rFonts w:hint="eastAsia" w:ascii="宋体" w:hAnsi="宋体" w:eastAsia="宋体" w:cs="Helvetica"/>
          <w:color w:val="000000"/>
          <w:kern w:val="0"/>
          <w:sz w:val="24"/>
          <w:szCs w:val="24"/>
          <w:u w:val="single"/>
        </w:rPr>
        <w:t xml:space="preserve">                                   </w:t>
      </w:r>
    </w:p>
    <w:p>
      <w:pPr>
        <w:widowControl/>
        <w:shd w:val="clear" w:color="auto" w:fill="FFFFFF" w:themeFill="background1"/>
        <w:wordWrap w:val="0"/>
        <w:spacing w:after="312" w:afterLines="100"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乙方（用水人）：</w:t>
      </w:r>
      <w:r>
        <w:rPr>
          <w:rFonts w:hint="eastAsia" w:ascii="宋体" w:hAnsi="宋体" w:eastAsia="宋体" w:cs="Helvetica"/>
          <w:color w:val="000000"/>
          <w:kern w:val="0"/>
          <w:sz w:val="24"/>
          <w:szCs w:val="24"/>
          <w:u w:val="single"/>
        </w:rPr>
        <w:t xml:space="preserve">                                   </w:t>
      </w:r>
    </w:p>
    <w:p>
      <w:pPr>
        <w:widowControl/>
        <w:shd w:val="clear" w:color="auto" w:fill="FFFFFF" w:themeFill="background1"/>
        <w:wordWrap w:val="0"/>
        <w:spacing w:after="312" w:afterLines="100"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为明确甲方和乙方</w:t>
      </w:r>
      <w:bookmarkStart w:id="0" w:name="_GoBack"/>
      <w:r>
        <w:rPr>
          <w:rFonts w:hint="eastAsia" w:ascii="宋体" w:hAnsi="宋体" w:eastAsia="宋体" w:cs="Helvetica"/>
          <w:color w:val="000000"/>
          <w:kern w:val="0"/>
          <w:sz w:val="24"/>
          <w:szCs w:val="24"/>
        </w:rPr>
        <w:t>在供应和使用自来水中的权利和义务</w:t>
      </w:r>
      <w:bookmarkEnd w:id="0"/>
      <w:r>
        <w:rPr>
          <w:rFonts w:hint="eastAsia" w:ascii="宋体" w:hAnsi="宋体" w:eastAsia="宋体" w:cs="Helvetica"/>
          <w:color w:val="000000"/>
          <w:kern w:val="0"/>
          <w:sz w:val="24"/>
          <w:szCs w:val="24"/>
        </w:rPr>
        <w:t>，根据《中华人民共和国合同法》、《中华人民共和国城市供水条例》等有关法律、法规，经双方协商一致，订立本合同。</w:t>
      </w:r>
    </w:p>
    <w:p>
      <w:pPr>
        <w:widowControl/>
        <w:shd w:val="clear" w:color="auto" w:fill="FFFFFF" w:themeFill="background1"/>
        <w:wordWrap w:val="0"/>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一、用水地址、用水性质和用水量</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（一）用水地址：</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。用水四至范围（即用水区域四周边界）是</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（可制订详图作为附件）。</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（二）用水性质：</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用水。</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（三）用水计量器具：DN</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计量水表。</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（四）计费水表安装地点：</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（可制定详图作为附件）。</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（五）安装计费水表共</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具，注册号：</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w:t>
      </w:r>
    </w:p>
    <w:p>
      <w:pPr>
        <w:widowControl/>
        <w:shd w:val="clear" w:color="auto" w:fill="FFFFFF" w:themeFill="background1"/>
        <w:wordWrap w:val="0"/>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二、供水方式和质量</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（一）甲方向乙方提供不间断供水，不得随意停止供水。</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（二）乙方不能间断用水或者对水压、水质有特殊要求的，应当自行设置贮水、间接加压设施及水处理设备。</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（三）甲方保证供水水质符合国家《生活饮用水卫生标准》。</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（四）采取直接供水方式的，甲方保证计费总水表的水压不小于</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兆帕；以户表方式计费的，保证进入建筑物前阀门处的水压不小于</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兆帕。</w:t>
      </w:r>
    </w:p>
    <w:p>
      <w:pPr>
        <w:widowControl/>
        <w:shd w:val="clear" w:color="auto" w:fill="FFFFFF" w:themeFill="background1"/>
        <w:wordWrap w:val="0"/>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三、用水计量、水价及水费结算方式</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（一）用水计量</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1．安装水表应注册登记。甲乙双方按照注册登记的计费水表计量的水量作为水费结算的依据；</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2．乙方用水按照用水性质实行分类计量。不同用水性质的用水共享一具计费水表时，乙方应按规定申请分装水表。未实施分装的，从高适用水价。</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（二）供水价格</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甲方依据乙方用水性质，按照</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市政府物价管理部门批准的供水分类价格收取水费。</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在合同有效期内，遇水价调整时，按照调价文件规定执行。</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（三）水费结算方式</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1．甲方按照</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周期抄验表并结算水费，乙方在</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前缴清水费；</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2．水费结算采取</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方式。</w:t>
      </w:r>
    </w:p>
    <w:p>
      <w:pPr>
        <w:widowControl/>
        <w:shd w:val="clear" w:color="auto" w:fill="FFFFFF" w:themeFill="background1"/>
        <w:wordWrap w:val="0"/>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四、供、用水设施产权分界与维护管理</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（一）供、用水设施产权分界点为计费水表处，水表前（含计费水表）为供水企业产权，之后为用水户产权。</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（二）产权分界点水源侧（含计费水表）的管道和附属设施由甲方负责维护管理。产权分界点另侧的管道及设施由乙方负责维护管理或者有偿委托甲方为乙方提供维护管理服务。</w:t>
      </w:r>
    </w:p>
    <w:p>
      <w:pPr>
        <w:widowControl/>
        <w:shd w:val="clear" w:color="auto" w:fill="FFFFFF" w:themeFill="background1"/>
        <w:wordWrap w:val="0"/>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五、甲方的权利和义务</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（一）因乙方责任不能抄验水表时，甲方可根据乙方上</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个月的平均用水量估算本期用水量。</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二）甲方应当按照合同约定的水质不间断供水。除高峰季节因供水能力不足，经有关供水行政主管部门同意被迫降压外，甲方应当按照合同规定的压力供水。对因工程施工、设备维修、更新、改扩建供水设施确需停水的，应当提前24小时通知乙方。因发生自然灾害或紧急事故，不能提前通知的，应及时通知乙方，尽快恢复正常供水。</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（三）甲方设立专门服务电话实行24小时昼夜受理乙方的报修。遇有供水管道及附属设施损坏时，甲方应当及时进行现场抢修。</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（四）如甲方需要变更抄读水表和收费周期时，应当提前15天通知乙方。</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五）乙方对计量水表准确度有异议的，可向甲方提出验表要求，由双方共同向国家法定计量检定机构或通过计量认证的机构申请检定，乙方预缴检定费。经检测，如水表误差超出国家规定范围（非因乙方责任造成），甲方应当无偿更换，并承担检定费，当月水费按检定结果多退少补，并赔偿由此给乙方造成的损失；如水表误差在国家规定范围内，检测费用由乙方承担。</w:t>
      </w:r>
    </w:p>
    <w:p>
      <w:pPr>
        <w:widowControl/>
        <w:shd w:val="clear" w:color="auto" w:fill="FFFFFF" w:themeFill="background1"/>
        <w:wordWrap w:val="0"/>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六、乙方的权利和义务</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（一）乙方有权要求甲方按照国家有关规定对计费水表进行周期检定。</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（二）乙方有权向甲方提出进行计费水表复核和校验。</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（三）乙方有权对甲方收缴的水费及确定的水价向甲方申请复核。</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（四）乙方应当按照合同约定按期向甲方交水费。</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（五）乙方应配合甲方抄验表及协助做好水表等设施的更换、维修工作。</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（六）除发生火灾等特殊原因，乙方不得擅自开封启动无表防险（乙方消火栓）。需要试验内部消防设施的，应当通知甲方派人启封。发生火灾时，乙方可以自行启动使用，灭火后应当及时通知甲方重新铅封。</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（七）乙方不得擅自向第三人转供水，不得擅自改变用水性质及向合同约定用水四至范围外供水。</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（八）由于乙方用水量增加，连续半年超过水表公称流量时，应当办理换表增容手续。</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（九）变更或者终止用水，乙方应当及时办理相关手续。</w:t>
      </w:r>
    </w:p>
    <w:p>
      <w:pPr>
        <w:widowControl/>
        <w:shd w:val="clear" w:color="auto" w:fill="FFFFFF" w:themeFill="background1"/>
        <w:wordWrap w:val="0"/>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七、违约责任</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（一）甲方的违约责任</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1．因甲方责任造成停水、水压降低、水质量事故，应当支付乙方停水期间正常用水量水费</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%的违约金。给乙方造成损失的，甲方应当承担赔偿责任；</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2．由于不可抗力造成停水、水压降低、水质量事故的，使乙方受到损失的，甲方不承担赔偿责任；</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3．由于甲方抄错表而多收水费的，应当予以退还，并支付多收水费</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%的违约金。</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（二）乙方的违约责任</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1．乙方逾期不缴纳水费，除应补足应缴纳的水费外，还应当支付从逾期之日起每日按应缴水费数额的</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%违约金。没有正当理由或特殊原因连续60天不交水费的，甲方可暂停供水；</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2．乙方擅自改变用水性质、向第三人转供水、向合同约定的四至范围外供水、未到甲方处办理变更手续的，乙方应按实际用水性质的价格标准交纳水费，补交水价差价，并支付应缴水费</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%的违约金。</w:t>
      </w:r>
    </w:p>
    <w:p>
      <w:pPr>
        <w:widowControl/>
        <w:shd w:val="clear" w:color="auto" w:fill="FFFFFF" w:themeFill="background1"/>
        <w:wordWrap w:val="0"/>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八、合同有效期限</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本合同期限为</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年，从</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年</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月</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日起至</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年</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月</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日止。本合同期限届满后30天内，甲、乙双方均未对本合同效力的延续提出异议的，则本合同期限自动顺延。</w:t>
      </w:r>
    </w:p>
    <w:p>
      <w:pPr>
        <w:widowControl/>
        <w:shd w:val="clear" w:color="auto" w:fill="FFFFFF" w:themeFill="background1"/>
        <w:wordWrap w:val="0"/>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九、合同的变更</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当事人如需修改合同条款或合同未尽事宜，须经双方协商一致，签订补充协定，补充协定与本合同具有同等效力。</w:t>
      </w:r>
    </w:p>
    <w:p>
      <w:pPr>
        <w:widowControl/>
        <w:shd w:val="clear" w:color="auto" w:fill="FFFFFF" w:themeFill="background1"/>
        <w:wordWrap w:val="0"/>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十、争议的解决方式</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本合同在履行过程中发生争议时，由甲、乙双方协商解决，或向有关行政主管部门申请调解。协商或者调解不成的，按下列第</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种方式解决：</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（一）提交</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仲裁委员会仲裁；</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（二）依法向人民法院起诉。</w:t>
      </w:r>
    </w:p>
    <w:p>
      <w:pPr>
        <w:widowControl/>
        <w:shd w:val="clear" w:color="auto" w:fill="FFFFFF" w:themeFill="background1"/>
        <w:wordWrap w:val="0"/>
        <w:spacing w:after="312" w:afterLines="100"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b/>
          <w:color w:val="000000"/>
          <w:kern w:val="0"/>
          <w:sz w:val="24"/>
          <w:szCs w:val="24"/>
        </w:rPr>
        <w:t>十一、其它约定</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84"/>
        <w:gridCol w:w="39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84" w:type="dxa"/>
          </w:tcPr>
          <w:p>
            <w:pPr>
              <w:widowControl/>
              <w:wordWrap w:val="0"/>
              <w:spacing w:line="360" w:lineRule="auto"/>
              <w:ind w:right="96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甲方（盖章）：</w:t>
            </w:r>
          </w:p>
        </w:tc>
        <w:tc>
          <w:tcPr>
            <w:tcW w:w="3922" w:type="dxa"/>
          </w:tcPr>
          <w:p>
            <w:pPr>
              <w:widowControl/>
              <w:wordWrap w:val="0"/>
              <w:spacing w:line="360" w:lineRule="auto"/>
              <w:ind w:right="96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乙方（盖章）：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84" w:type="dxa"/>
          </w:tcPr>
          <w:p>
            <w:pPr>
              <w:widowControl/>
              <w:wordWrap w:val="0"/>
              <w:spacing w:line="360" w:lineRule="auto"/>
              <w:ind w:right="24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住所：</w:t>
            </w:r>
            <w:r>
              <w:rPr>
                <w:rFonts w:hint="eastAsia" w:ascii="宋体" w:hAnsi="宋体" w:eastAsia="宋体" w:cs="Helvetica"/>
                <w:color w:val="000000"/>
                <w:kern w:val="0"/>
                <w:sz w:val="24"/>
                <w:szCs w:val="24"/>
                <w:u w:val="single"/>
              </w:rPr>
              <w:t xml:space="preserve">                     </w:t>
            </w:r>
          </w:p>
        </w:tc>
        <w:tc>
          <w:tcPr>
            <w:tcW w:w="3922" w:type="dxa"/>
          </w:tcPr>
          <w:p>
            <w:pPr>
              <w:widowControl/>
              <w:wordWrap w:val="0"/>
              <w:spacing w:line="360" w:lineRule="auto"/>
              <w:ind w:right="24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住所：</w:t>
            </w:r>
            <w:r>
              <w:rPr>
                <w:rFonts w:hint="eastAsia" w:ascii="宋体" w:hAnsi="宋体" w:eastAsia="宋体" w:cs="Helvetica"/>
                <w:color w:val="000000"/>
                <w:kern w:val="0"/>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84" w:type="dxa"/>
          </w:tcPr>
          <w:p>
            <w:pPr>
              <w:widowControl/>
              <w:wordWrap w:val="0"/>
              <w:spacing w:line="360" w:lineRule="auto"/>
              <w:ind w:right="72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法定代表人（签字）：</w:t>
            </w:r>
          </w:p>
        </w:tc>
        <w:tc>
          <w:tcPr>
            <w:tcW w:w="3922" w:type="dxa"/>
          </w:tcPr>
          <w:p>
            <w:pPr>
              <w:widowControl/>
              <w:wordWrap w:val="0"/>
              <w:spacing w:line="360" w:lineRule="auto"/>
              <w:ind w:right="96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法定代表人（签字）：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84" w:type="dxa"/>
          </w:tcPr>
          <w:p>
            <w:pPr>
              <w:widowControl/>
              <w:wordWrap w:val="0"/>
              <w:spacing w:line="360" w:lineRule="auto"/>
              <w:ind w:right="96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委托代理人（签字）：</w:t>
            </w:r>
          </w:p>
        </w:tc>
        <w:tc>
          <w:tcPr>
            <w:tcW w:w="3922" w:type="dxa"/>
          </w:tcPr>
          <w:p>
            <w:pPr>
              <w:widowControl/>
              <w:wordWrap w:val="0"/>
              <w:spacing w:line="360" w:lineRule="auto"/>
              <w:ind w:right="96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委托代理人（签字）：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84" w:type="dxa"/>
          </w:tcPr>
          <w:p>
            <w:pPr>
              <w:widowControl/>
              <w:wordWrap w:val="0"/>
              <w:spacing w:line="360" w:lineRule="auto"/>
              <w:ind w:right="24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开户银行：</w:t>
            </w:r>
            <w:r>
              <w:rPr>
                <w:rFonts w:hint="eastAsia" w:ascii="宋体" w:hAnsi="宋体" w:eastAsia="宋体" w:cs="Helvetica"/>
                <w:color w:val="000000"/>
                <w:kern w:val="0"/>
                <w:sz w:val="24"/>
                <w:szCs w:val="24"/>
                <w:u w:val="single"/>
              </w:rPr>
              <w:t xml:space="preserve">                 </w:t>
            </w:r>
          </w:p>
        </w:tc>
        <w:tc>
          <w:tcPr>
            <w:tcW w:w="3922" w:type="dxa"/>
          </w:tcPr>
          <w:p>
            <w:pPr>
              <w:widowControl/>
              <w:wordWrap w:val="0"/>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开户银行：</w:t>
            </w:r>
            <w:r>
              <w:rPr>
                <w:rFonts w:hint="eastAsia" w:ascii="宋体" w:hAnsi="宋体" w:eastAsia="宋体" w:cs="Helvetica"/>
                <w:color w:val="000000"/>
                <w:kern w:val="0"/>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84" w:type="dxa"/>
          </w:tcPr>
          <w:p>
            <w:pPr>
              <w:widowControl/>
              <w:wordWrap w:val="0"/>
              <w:spacing w:line="360" w:lineRule="auto"/>
              <w:ind w:right="24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账号：</w:t>
            </w:r>
            <w:r>
              <w:rPr>
                <w:rFonts w:hint="eastAsia" w:ascii="宋体" w:hAnsi="宋体" w:eastAsia="宋体" w:cs="Helvetica"/>
                <w:color w:val="000000"/>
                <w:kern w:val="0"/>
                <w:sz w:val="24"/>
                <w:szCs w:val="24"/>
                <w:u w:val="single"/>
              </w:rPr>
              <w:t xml:space="preserve">                     </w:t>
            </w:r>
          </w:p>
        </w:tc>
        <w:tc>
          <w:tcPr>
            <w:tcW w:w="3922" w:type="dxa"/>
          </w:tcPr>
          <w:p>
            <w:pPr>
              <w:widowControl/>
              <w:wordWrap w:val="0"/>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账号：</w:t>
            </w:r>
            <w:r>
              <w:rPr>
                <w:rFonts w:hint="eastAsia" w:ascii="宋体" w:hAnsi="宋体" w:eastAsia="宋体" w:cs="Helvetica"/>
                <w:color w:val="000000"/>
                <w:kern w:val="0"/>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84" w:type="dxa"/>
          </w:tcPr>
          <w:p>
            <w:pPr>
              <w:widowControl/>
              <w:wordWrap w:val="0"/>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电话：</w:t>
            </w:r>
            <w:r>
              <w:rPr>
                <w:rFonts w:hint="eastAsia" w:ascii="宋体" w:hAnsi="宋体" w:eastAsia="宋体" w:cs="Helvetica"/>
                <w:color w:val="000000"/>
                <w:kern w:val="0"/>
                <w:sz w:val="24"/>
                <w:szCs w:val="24"/>
                <w:u w:val="single"/>
              </w:rPr>
              <w:t xml:space="preserve">                     </w:t>
            </w:r>
          </w:p>
        </w:tc>
        <w:tc>
          <w:tcPr>
            <w:tcW w:w="3922" w:type="dxa"/>
          </w:tcPr>
          <w:p>
            <w:pPr>
              <w:widowControl/>
              <w:wordWrap w:val="0"/>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电话：</w:t>
            </w:r>
            <w:r>
              <w:rPr>
                <w:rFonts w:hint="eastAsia" w:ascii="宋体" w:hAnsi="宋体" w:eastAsia="宋体" w:cs="Helvetica"/>
                <w:color w:val="000000"/>
                <w:kern w:val="0"/>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84" w:type="dxa"/>
          </w:tcPr>
          <w:p>
            <w:pPr>
              <w:widowControl/>
              <w:wordWrap w:val="0"/>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年</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月</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日</w:t>
            </w:r>
          </w:p>
        </w:tc>
        <w:tc>
          <w:tcPr>
            <w:tcW w:w="3922" w:type="dxa"/>
          </w:tcPr>
          <w:p>
            <w:pPr>
              <w:widowControl/>
              <w:wordWrap w:val="0"/>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年</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月</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日</w:t>
            </w:r>
          </w:p>
        </w:tc>
      </w:tr>
    </w:tbl>
    <w:p>
      <w:pPr>
        <w:shd w:val="clear" w:color="auto" w:fill="FFFFFF" w:themeFill="background1"/>
        <w:wordWrap w:val="0"/>
        <w:spacing w:line="360" w:lineRule="auto"/>
        <w:rPr>
          <w:rFonts w:ascii="宋体" w:hAnsi="宋体" w:eastAsia="宋体"/>
          <w:sz w:val="24"/>
          <w:szCs w:val="24"/>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仿宋_GB2312">
    <w:altName w:val="汉仪仿宋KW"/>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9" w:usb3="00000000" w:csb0="000001FF"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 w:name="Arial">
    <w:panose1 w:val="020B0604020202020204"/>
    <w:charset w:val="00"/>
    <w:family w:val="auto"/>
    <w:pitch w:val="default"/>
    <w:sig w:usb0="E0002AFF" w:usb1="C0007843" w:usb2="00000009" w:usb3="00000000" w:csb0="400001FF" w:csb1="FFFF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0A1"/>
    <w:rsid w:val="00016618"/>
    <w:rsid w:val="000A1CC9"/>
    <w:rsid w:val="000D28EB"/>
    <w:rsid w:val="00173BF1"/>
    <w:rsid w:val="001903D3"/>
    <w:rsid w:val="001B561B"/>
    <w:rsid w:val="001E19D5"/>
    <w:rsid w:val="00237114"/>
    <w:rsid w:val="00260F0D"/>
    <w:rsid w:val="002D4631"/>
    <w:rsid w:val="00365781"/>
    <w:rsid w:val="00366EED"/>
    <w:rsid w:val="00423060"/>
    <w:rsid w:val="005C1A8A"/>
    <w:rsid w:val="005F365D"/>
    <w:rsid w:val="00621776"/>
    <w:rsid w:val="0068241E"/>
    <w:rsid w:val="006958E5"/>
    <w:rsid w:val="006A50A1"/>
    <w:rsid w:val="00703A4D"/>
    <w:rsid w:val="00750F62"/>
    <w:rsid w:val="00780E83"/>
    <w:rsid w:val="007E4AA0"/>
    <w:rsid w:val="008066BA"/>
    <w:rsid w:val="00812023"/>
    <w:rsid w:val="00882692"/>
    <w:rsid w:val="008D0464"/>
    <w:rsid w:val="00930789"/>
    <w:rsid w:val="00956283"/>
    <w:rsid w:val="00A43C07"/>
    <w:rsid w:val="00A73ECC"/>
    <w:rsid w:val="00AA1815"/>
    <w:rsid w:val="00AB543D"/>
    <w:rsid w:val="00AD5E41"/>
    <w:rsid w:val="00B02141"/>
    <w:rsid w:val="00B40710"/>
    <w:rsid w:val="00B41E24"/>
    <w:rsid w:val="00BA4D47"/>
    <w:rsid w:val="00BA52A5"/>
    <w:rsid w:val="00BB5E4C"/>
    <w:rsid w:val="00C954F6"/>
    <w:rsid w:val="00CA038F"/>
    <w:rsid w:val="00CD5963"/>
    <w:rsid w:val="00D5585A"/>
    <w:rsid w:val="00D818EA"/>
    <w:rsid w:val="00E5568B"/>
    <w:rsid w:val="00EE449A"/>
    <w:rsid w:val="00EF273C"/>
    <w:rsid w:val="00F90625"/>
    <w:rsid w:val="DF7FB0A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2"/>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14"/>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character" w:default="1" w:styleId="10">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5">
    <w:name w:val="Balloon Text"/>
    <w:basedOn w:val="1"/>
    <w:link w:val="17"/>
    <w:semiHidden/>
    <w:unhideWhenUsed/>
    <w:uiPriority w:val="99"/>
    <w:rPr>
      <w:sz w:val="18"/>
      <w:szCs w:val="18"/>
    </w:rPr>
  </w:style>
  <w:style w:type="paragraph" w:styleId="6">
    <w:name w:val="footer"/>
    <w:basedOn w:val="1"/>
    <w:link w:val="16"/>
    <w:unhideWhenUsed/>
    <w:uiPriority w:val="99"/>
    <w:pPr>
      <w:tabs>
        <w:tab w:val="center" w:pos="4153"/>
        <w:tab w:val="right" w:pos="8306"/>
      </w:tabs>
      <w:snapToGrid w:val="0"/>
      <w:jc w:val="left"/>
    </w:pPr>
    <w:rPr>
      <w:sz w:val="18"/>
      <w:szCs w:val="18"/>
    </w:rPr>
  </w:style>
  <w:style w:type="paragraph" w:styleId="7">
    <w:name w:val="header"/>
    <w:basedOn w:val="1"/>
    <w:link w:val="13"/>
    <w:uiPriority w:val="99"/>
    <w:pPr>
      <w:pBdr>
        <w:bottom w:val="single" w:color="auto" w:sz="6" w:space="1"/>
      </w:pBdr>
      <w:tabs>
        <w:tab w:val="center" w:pos="4153"/>
        <w:tab w:val="right" w:pos="8306"/>
      </w:tabs>
      <w:snapToGrid w:val="0"/>
      <w:jc w:val="center"/>
    </w:pPr>
    <w:rPr>
      <w:rFonts w:ascii="Times New Roman" w:hAnsi="Times New Roman" w:eastAsia="仿宋_GB2312" w:cs="Times New Roman"/>
      <w:sz w:val="18"/>
      <w:szCs w:val="18"/>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标题 2 字符"/>
    <w:basedOn w:val="10"/>
    <w:link w:val="2"/>
    <w:uiPriority w:val="9"/>
    <w:rPr>
      <w:rFonts w:asciiTheme="majorHAnsi" w:hAnsiTheme="majorHAnsi" w:eastAsiaTheme="majorEastAsia" w:cstheme="majorBidi"/>
      <w:b/>
      <w:bCs/>
      <w:sz w:val="32"/>
      <w:szCs w:val="32"/>
    </w:rPr>
  </w:style>
  <w:style w:type="character" w:customStyle="1" w:styleId="12">
    <w:name w:val="标题 3 字符"/>
    <w:basedOn w:val="10"/>
    <w:link w:val="3"/>
    <w:uiPriority w:val="9"/>
    <w:rPr>
      <w:b/>
      <w:bCs/>
      <w:sz w:val="32"/>
      <w:szCs w:val="32"/>
    </w:rPr>
  </w:style>
  <w:style w:type="character" w:customStyle="1" w:styleId="13">
    <w:name w:val="页眉 字符"/>
    <w:basedOn w:val="10"/>
    <w:link w:val="7"/>
    <w:uiPriority w:val="99"/>
    <w:rPr>
      <w:rFonts w:ascii="Times New Roman" w:hAnsi="Times New Roman" w:eastAsia="仿宋_GB2312" w:cs="Times New Roman"/>
      <w:sz w:val="18"/>
      <w:szCs w:val="18"/>
    </w:rPr>
  </w:style>
  <w:style w:type="character" w:customStyle="1" w:styleId="14">
    <w:name w:val="标题 4 字符"/>
    <w:basedOn w:val="10"/>
    <w:link w:val="4"/>
    <w:uiPriority w:val="9"/>
    <w:rPr>
      <w:rFonts w:ascii="宋体" w:hAnsi="宋体" w:eastAsia="宋体" w:cs="宋体"/>
      <w:b/>
      <w:bCs/>
      <w:kern w:val="0"/>
      <w:sz w:val="24"/>
      <w:szCs w:val="24"/>
    </w:rPr>
  </w:style>
  <w:style w:type="paragraph" w:customStyle="1" w:styleId="15">
    <w:name w:val="msonormal"/>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6">
    <w:name w:val="页脚 字符"/>
    <w:basedOn w:val="10"/>
    <w:link w:val="6"/>
    <w:uiPriority w:val="99"/>
    <w:rPr>
      <w:sz w:val="18"/>
      <w:szCs w:val="18"/>
    </w:rPr>
  </w:style>
  <w:style w:type="character" w:customStyle="1" w:styleId="17">
    <w:name w:val="批注框文本 字符"/>
    <w:basedOn w:val="10"/>
    <w:link w:val="5"/>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Pages>
  <Words>469</Words>
  <Characters>2678</Characters>
  <Lines>22</Lines>
  <Paragraphs>6</Paragraphs>
  <TotalTime>0</TotalTime>
  <ScaleCrop>false</ScaleCrop>
  <LinksUpToDate>false</LinksUpToDate>
  <CharactersWithSpaces>3141</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2019-03-22T18:18:00Z</dcterms:created>
  <dc:creator>雯 张</dc:creator>
  <cp:lastModifiedBy>雯 张</cp:lastModifiedBy>
  <dcterms:modified xsi:type="dcterms:W3CDTF">2020-05-28T11:28:08Z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