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92" w:rsidRPr="00BD3E12" w:rsidRDefault="00335092" w:rsidP="00335092">
      <w:pPr>
        <w:pStyle w:val="3"/>
      </w:pPr>
      <w:bookmarkStart w:id="0" w:name="_GoBack"/>
      <w:r>
        <w:rPr>
          <w:rFonts w:hint="eastAsia"/>
        </w:rPr>
        <w:t>大连市商品混凝土买卖合同</w:t>
      </w:r>
    </w:p>
    <w:bookmarkEnd w:id="0"/>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订货单位(甲方)：</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供货单位(乙方)：</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根据《中华人民共和国合同法》及国家、省、市有关买卖</w:t>
      </w: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管理规定，经甲、乙双方协商并同意签订本商品砼买卖合同，由甲乙双方共同遵守履行。内容如下：</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一、工程概况</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建设单位：</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施工单位：</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工程名称：</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工程地址：</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结构形式：</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总层数：</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总高度：</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运距：</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二、合同总数量及总金额</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总数量：</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立方米</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总金额：人民币(大写)</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明细如下：(金额单位(元))</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标号合计：</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数量(立方米)：</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单价(</w:t>
      </w:r>
      <w:proofErr w:type="gramStart"/>
      <w:r w:rsidRPr="00BD3E12">
        <w:rPr>
          <w:rFonts w:ascii="宋体" w:eastAsia="宋体" w:hAnsi="宋体" w:cs="宋体" w:hint="eastAsia"/>
          <w:kern w:val="0"/>
          <w:sz w:val="24"/>
          <w:szCs w:val="24"/>
        </w:rPr>
        <w:t>含泵</w:t>
      </w:r>
      <w:proofErr w:type="gramEnd"/>
      <w:r w:rsidRPr="00BD3E12">
        <w:rPr>
          <w:rFonts w:ascii="宋体" w:eastAsia="宋体" w:hAnsi="宋体" w:cs="宋体" w:hint="eastAsia"/>
          <w:kern w:val="0"/>
          <w:sz w:val="24"/>
          <w:szCs w:val="24"/>
        </w:rPr>
        <w:t>费)：</w:t>
      </w:r>
      <w:r w:rsidRPr="00BD3E12">
        <w:rPr>
          <w:rFonts w:ascii="宋体" w:eastAsia="宋体" w:hAnsi="宋体" w:cs="宋体" w:hint="eastAsia"/>
          <w:kern w:val="0"/>
          <w:sz w:val="24"/>
          <w:szCs w:val="24"/>
          <w:u w:val="single"/>
        </w:rPr>
        <w:t xml:space="preserve">    </w:t>
      </w:r>
      <w:r>
        <w:rPr>
          <w:rFonts w:ascii="宋体" w:eastAsia="宋体" w:hAnsi="宋体" w:cs="宋体"/>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(含运费)</w:t>
      </w:r>
      <w:proofErr w:type="gramStart"/>
      <w:r w:rsidRPr="00BD3E12">
        <w:rPr>
          <w:rFonts w:ascii="宋体" w:eastAsia="宋体" w:hAnsi="宋体" w:cs="宋体" w:hint="eastAsia"/>
          <w:kern w:val="0"/>
          <w:sz w:val="24"/>
          <w:szCs w:val="24"/>
        </w:rPr>
        <w:t>不含泵费单价</w:t>
      </w:r>
      <w:proofErr w:type="gramEnd"/>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金额合计：</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特殊商品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外加剂计算方法：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非泵送部分其他计算方法：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混凝土结算量计算方法：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其他如遇国家经济政策有重大调整，价格另议。</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备注：</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三、对商品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质量和技术要求标准及双方对质量负责的条件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1.乙方必须按合同的要求供应各种强度等级的混凝土，商品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的质量必须符合国家规定的标准，经确认是乙方原因造成商品砼质量问题的，则乙方必须承担全部责任。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2.当商品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到达现场后，甲方必须按商品砼规范要求进行合理施工，经确认是甲方原因造成商品砼出现质量问题的，则甲方必须承担全部责任。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3.甲方必须派专人在施工现场对浇注前的商品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数量、坍落度等技术指标及乙方人员的服务态度等进行监督检查，如有异议可拒签商品砼发货单并立即与乙方协商解决，若无异议则甲方必须据实签收。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4.其他约定事项</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四、商品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签收要求</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1.本合同约定，甲方特指派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对乙方提供的商品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进行签收，除此之外任何人无权进行签收。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2.乙方所提供的商品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数量累计达到</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立方米时，若乙方提出需甲方对此数量的混凝土进行认证时，甲方必须给乙方出具数量认证凭证，同时收回认证数量部分的混凝土签收小票。</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3.混凝土合理损耗量按国家标准执行。</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4.其他约定事项</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五、对商品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验收标准</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的验收以商品砼生产之日起</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天后混凝土抗压报告结果为验收标准，若无异议则视为混凝土质量合格。</w:t>
      </w:r>
      <w:proofErr w:type="gramStart"/>
      <w:r w:rsidRPr="00BD3E12">
        <w:rPr>
          <w:rFonts w:ascii="宋体" w:eastAsia="宋体" w:hAnsi="宋体" w:cs="宋体" w:hint="eastAsia"/>
          <w:kern w:val="0"/>
          <w:sz w:val="24"/>
          <w:szCs w:val="24"/>
        </w:rPr>
        <w:t>取样按</w:t>
      </w:r>
      <w:proofErr w:type="gramEnd"/>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(供方、施工现场、第三方)为准。</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2.其他</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六、商品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的供应时间、方式、地点及其他条件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1.商品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w:t>
      </w:r>
      <w:proofErr w:type="gramStart"/>
      <w:r w:rsidRPr="00BD3E12">
        <w:rPr>
          <w:rFonts w:ascii="宋体" w:eastAsia="宋体" w:hAnsi="宋体" w:cs="宋体" w:hint="eastAsia"/>
          <w:kern w:val="0"/>
          <w:sz w:val="24"/>
          <w:szCs w:val="24"/>
        </w:rPr>
        <w:t>供应</w:t>
      </w:r>
      <w:proofErr w:type="gramEnd"/>
      <w:r w:rsidRPr="00BD3E12">
        <w:rPr>
          <w:rFonts w:ascii="宋体" w:eastAsia="宋体" w:hAnsi="宋体" w:cs="宋体" w:hint="eastAsia"/>
          <w:kern w:val="0"/>
          <w:sz w:val="24"/>
          <w:szCs w:val="24"/>
        </w:rPr>
        <w:t>自</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年</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月</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日起至</w:t>
      </w:r>
      <w:r>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年</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月</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日结束，若超出</w:t>
      </w:r>
      <w:proofErr w:type="gramStart"/>
      <w:r w:rsidRPr="00BD3E12">
        <w:rPr>
          <w:rFonts w:ascii="宋体" w:eastAsia="宋体" w:hAnsi="宋体" w:cs="宋体" w:hint="eastAsia"/>
          <w:kern w:val="0"/>
          <w:sz w:val="24"/>
          <w:szCs w:val="24"/>
        </w:rPr>
        <w:t>此供</w:t>
      </w:r>
      <w:proofErr w:type="gramEnd"/>
      <w:r w:rsidRPr="00BD3E12">
        <w:rPr>
          <w:rFonts w:ascii="宋体" w:eastAsia="宋体" w:hAnsi="宋体" w:cs="宋体" w:hint="eastAsia"/>
          <w:kern w:val="0"/>
          <w:sz w:val="24"/>
          <w:szCs w:val="24"/>
        </w:rPr>
        <w:t>应时间，则乙方有权停止供货，并追究甲方的违约责任。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2.在每次浇注前甲方必须提前</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小时通知乙方所需商品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的标号、数量、施工地点、部位及施工时间等，并按要求填写商品砼委托单。如有变化甲方必须提前</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小时通知乙方。</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3.每次混凝土施工前，甲方必须平整好施工场地，保证施工现场车辆运行顺畅，协调好同有关部门及周围群众的关系等，</w:t>
      </w:r>
      <w:proofErr w:type="gramStart"/>
      <w:r w:rsidRPr="00BD3E12">
        <w:rPr>
          <w:rFonts w:ascii="宋体" w:eastAsia="宋体" w:hAnsi="宋体" w:cs="宋体" w:hint="eastAsia"/>
          <w:kern w:val="0"/>
          <w:sz w:val="24"/>
          <w:szCs w:val="24"/>
        </w:rPr>
        <w:t>因此方面</w:t>
      </w:r>
      <w:proofErr w:type="gramEnd"/>
      <w:r w:rsidRPr="00BD3E12">
        <w:rPr>
          <w:rFonts w:ascii="宋体" w:eastAsia="宋体" w:hAnsi="宋体" w:cs="宋体" w:hint="eastAsia"/>
          <w:kern w:val="0"/>
          <w:sz w:val="24"/>
          <w:szCs w:val="24"/>
        </w:rPr>
        <w:t>的原因造成延误混凝土施工或混凝土出现质量问题的则乙方概不负责。</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4.本合同约定：</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(供、购、收)货地点为本合同履行地。</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5.其他</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七、结算方式及限期</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u w:val="single"/>
        </w:rPr>
      </w:pPr>
      <w:r w:rsidRPr="00BD3E12">
        <w:rPr>
          <w:rFonts w:ascii="宋体" w:eastAsia="宋体" w:hAnsi="宋体" w:cs="宋体" w:hint="eastAsia"/>
          <w:kern w:val="0"/>
          <w:sz w:val="24"/>
          <w:szCs w:val="24"/>
        </w:rPr>
        <w:t>结算方式：</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u w:val="single"/>
        </w:rPr>
      </w:pPr>
      <w:r w:rsidRPr="00BD3E12">
        <w:rPr>
          <w:rFonts w:ascii="宋体" w:eastAsia="宋体" w:hAnsi="宋体" w:cs="宋体" w:hint="eastAsia"/>
          <w:kern w:val="0"/>
          <w:sz w:val="24"/>
          <w:szCs w:val="24"/>
        </w:rPr>
        <w:t>结算期限：</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八、违约责任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1.合同签订后，甲方中途无故解除合同或乙方中途无故解除合同，应向对方支付合同规定预计总价款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%的违约金。</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2.甲方若未按合同规定的结算方式进行货款结算，则乙方有权终止合同，并追究甲方的违约责任，同时甲方必须按日承担逾期部分价款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%的滞纳金。</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3.因甲方的原因造成工程停工的则甲方必须在停工之日起</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日内将乙方的所有混凝土款结算清。</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4.在甲方要求的混凝土数量范围内，乙方已生产而甲方提出退货时，此部分混凝土视甲方已购买，甲方必须据实签收。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5.乙方在甲方按合同规定支付货款后应据实提供给甲方各批次商品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的试验报告，若甲方出现违约情况则乙方在纠纷未解决前有权不提供商品砼试验报告。</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6.其他违约责任</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九、合同争议的解决方式</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本合同在履行过程中发生的争议，应协商或调解，协商或调解不成，可</w:t>
      </w:r>
      <w:proofErr w:type="gramStart"/>
      <w:r w:rsidRPr="00BD3E12">
        <w:rPr>
          <w:rFonts w:ascii="宋体" w:eastAsia="宋体" w:hAnsi="宋体" w:cs="宋体" w:hint="eastAsia"/>
          <w:kern w:val="0"/>
          <w:sz w:val="24"/>
          <w:szCs w:val="24"/>
        </w:rPr>
        <w:t>采取第</w:t>
      </w:r>
      <w:proofErr w:type="gramEnd"/>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)种方法解决。</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1.向</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仲裁委员会申请仲裁。</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2.向</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法院提起诉讼。</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十、其他</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本合同未尽事宜由甲乙双方协商解决。</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十一、合同文本</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本合同一式</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份，甲乙双方各执</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份，另一份存档，</w:t>
      </w:r>
      <w:proofErr w:type="gramStart"/>
      <w:r w:rsidRPr="00BD3E12">
        <w:rPr>
          <w:rFonts w:ascii="宋体" w:eastAsia="宋体" w:hAnsi="宋体" w:cs="宋体" w:hint="eastAsia"/>
          <w:kern w:val="0"/>
          <w:sz w:val="24"/>
          <w:szCs w:val="24"/>
        </w:rPr>
        <w:t>各合同</w:t>
      </w:r>
      <w:proofErr w:type="gramEnd"/>
      <w:r w:rsidRPr="00BD3E12">
        <w:rPr>
          <w:rFonts w:ascii="宋体" w:eastAsia="宋体" w:hAnsi="宋体" w:cs="宋体" w:hint="eastAsia"/>
          <w:kern w:val="0"/>
          <w:sz w:val="24"/>
          <w:szCs w:val="24"/>
        </w:rPr>
        <w:t>文本具有同等效力。</w:t>
      </w:r>
    </w:p>
    <w:p w:rsidR="00335092" w:rsidRPr="00BD3E12" w:rsidRDefault="00335092" w:rsidP="00BD3E12">
      <w:pPr>
        <w:widowControl/>
        <w:wordWrap w:val="0"/>
        <w:spacing w:line="360" w:lineRule="auto"/>
        <w:ind w:firstLineChars="200" w:firstLine="482"/>
        <w:rPr>
          <w:rFonts w:ascii="宋体" w:eastAsia="宋体" w:hAnsi="宋体" w:cs="宋体"/>
          <w:kern w:val="0"/>
          <w:sz w:val="24"/>
          <w:szCs w:val="24"/>
        </w:rPr>
      </w:pPr>
      <w:r w:rsidRPr="00BD3E12">
        <w:rPr>
          <w:rFonts w:ascii="宋体" w:eastAsia="宋体" w:hAnsi="宋体" w:cs="宋体" w:hint="eastAsia"/>
          <w:b/>
          <w:kern w:val="0"/>
          <w:sz w:val="24"/>
          <w:szCs w:val="24"/>
        </w:rPr>
        <w:t>十二、合同效力</w:t>
      </w:r>
    </w:p>
    <w:p w:rsidR="00335092" w:rsidRPr="00BD3E12" w:rsidRDefault="00335092" w:rsidP="00BD3E12">
      <w:pPr>
        <w:widowControl/>
        <w:wordWrap w:val="0"/>
        <w:spacing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本合同经双方签字并加盖印章之日起生效。</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甲方(公章)：</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乙方(公章)：</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法定代表人：</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法定代理人：</w:t>
            </w:r>
            <w:r>
              <w:rPr>
                <w:rFonts w:ascii="宋体" w:eastAsia="宋体" w:hAnsi="宋体" w:cs="宋体" w:hint="eastAsia"/>
                <w:u w:val="single"/>
              </w:rPr>
              <w:t xml:space="preserve">                 </w:t>
            </w:r>
          </w:p>
        </w:tc>
      </w:tr>
      <w:tr w:rsidR="00335092" w:rsidRPr="007868E5" w:rsidTr="007868E5">
        <w:trPr>
          <w:trHeight w:val="503"/>
        </w:trPr>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委托代理人：</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委托代理人：</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电话：</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电话：</w:t>
            </w:r>
            <w:r>
              <w:rPr>
                <w:rFonts w:ascii="宋体" w:eastAsia="宋体" w:hAnsi="宋体" w:cs="宋体" w:hint="eastAsia"/>
                <w:u w:val="single"/>
              </w:rPr>
              <w:t xml:space="preserve">                     </w:t>
            </w:r>
          </w:p>
        </w:tc>
      </w:tr>
      <w:tr w:rsidR="00335092" w:rsidRPr="007868E5" w:rsidTr="007868E5">
        <w:trPr>
          <w:trHeight w:val="489"/>
        </w:trPr>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开户行及账号：</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开户行及账号：</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邮编：</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邮编：</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签订日期</w:t>
            </w:r>
            <w:r>
              <w:rPr>
                <w:rFonts w:ascii="宋体" w:eastAsia="宋体" w:hAnsi="宋体" w:cs="宋体" w:hint="eastAsia"/>
              </w:rPr>
              <w:t>：</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签订日期：</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签订地点：</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签订地点：</w:t>
            </w:r>
            <w:r>
              <w:rPr>
                <w:rFonts w:ascii="宋体" w:eastAsia="宋体" w:hAnsi="宋体" w:cs="宋体" w:hint="eastAsia"/>
                <w:u w:val="single"/>
              </w:rPr>
              <w:t xml:space="preserve">                 </w:t>
            </w:r>
          </w:p>
        </w:tc>
      </w:tr>
    </w:tbl>
    <w:p w:rsidR="00335092" w:rsidRDefault="00335092"/>
    <w:sectPr w:rsidR="0033509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3509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2019-03-23T09:30:00Z</dcterms:created>
  <dcterms:modified xsi:type="dcterms:W3CDTF">2019-03-23T09:30:00Z</dcterms:modified>
</cp:coreProperties>
</file>