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形象墙制作合同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依照《中华人民共和国合同法》及其他有关法律、法规的规定，甲、乙双方在平等、自愿、协商一致的基础上，就乙方承包甲方的公司形象墙制作的有关事宜，达成如下协议：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1.工程名称：甲方公司形象墙制作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2.工程地点（安装地点）：甲方公司所在地，即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3.形象墙尺寸规格：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4.其它说明：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（以下简称“工程）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二、乙方服务内容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1.形象墙设计、安装、施工。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个月，自验收通过之日起算。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三、服务费及付款方式</w:t>
      </w:r>
      <w:r>
        <w:rPr>
          <w:rFonts w:hint="eastAsia" w:ascii="宋体" w:hAnsi="宋体" w:eastAsia="宋体" w:cs="宋体"/>
          <w:b/>
          <w:sz w:val="24"/>
          <w:szCs w:val="24"/>
        </w:rPr>
        <w:t>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2.支付时间与条件如下：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首笔款（同时作为定金）：￥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</w:t>
      </w:r>
      <w:r>
        <w:rPr>
          <w:rFonts w:hint="eastAsia" w:ascii="宋体" w:hAnsi="宋体" w:eastAsia="宋体" w:cs="宋体"/>
          <w:sz w:val="24"/>
          <w:szCs w:val="24"/>
          <w:u w:val="single"/>
        </w:rPr>
        <w:t>甲方验收通过后的 五个工作日内支付。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</w:t>
      </w:r>
      <w:r>
        <w:rPr>
          <w:rFonts w:hint="eastAsia" w:ascii="宋体" w:hAnsi="宋体" w:eastAsia="宋体" w:cs="宋体"/>
          <w:sz w:val="24"/>
          <w:szCs w:val="24"/>
          <w:u w:val="single"/>
        </w:rPr>
        <w:t>质保期满后的 五 个工作日内支付。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3.计费方式：包工包料。除本协议明确说明的以外，不再支付其它费用。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四、流程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1.乙方在收到首期合同款之日起开始设计形象墙方案。如甲方对设计方案不满意，双方无法达成一致，甲方有权解除本合同，乙方应退还甲方所收款项，互不承担其它违约责任。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2.乙方在甲方对设计方案认可后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个工作日内完成全部工作。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3.完工后当日内，甲方如未对工程提出质量问题，乙方视为验收合格。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999478A"/>
    <w:rsid w:val="1DAD2F12"/>
    <w:rsid w:val="2244341E"/>
    <w:rsid w:val="22B64991"/>
    <w:rsid w:val="234D0637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D8D0BA4"/>
    <w:rsid w:val="51153B1A"/>
    <w:rsid w:val="52B8793B"/>
    <w:rsid w:val="564D393B"/>
    <w:rsid w:val="5D7A58C1"/>
    <w:rsid w:val="5EA9C295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