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生猪养殖</w:t>
      </w:r>
      <w:bookmarkStart w:id="0" w:name="_GoBack"/>
      <w:bookmarkEnd w:id="0"/>
      <w:r>
        <w:rPr>
          <w:rStyle w:val="8"/>
          <w:rFonts w:hint="default" w:cs="宋体"/>
          <w:b/>
          <w:sz w:val="32"/>
          <w:szCs w:val="32"/>
        </w:rPr>
        <w:t>收购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乙方（养殖方）：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根据《中华人民共和国合同法》和《中华人民共和国农产品质量安全法》规定，甲乙双方在平等、自愿、公平、诚实信用的基础上，就生猪养殖有关事宜达成如下协议。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 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见下表：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1878"/>
        <w:gridCol w:w="1395"/>
        <w:gridCol w:w="1230"/>
        <w:gridCol w:w="1230"/>
        <w:gridCol w:w="800"/>
        <w:gridCol w:w="1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 品 名 称</w:t>
            </w:r>
          </w:p>
        </w:tc>
        <w:tc>
          <w:tcPr>
            <w:tcW w:w="1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品种规格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  地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  位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  量</w:t>
            </w:r>
          </w:p>
        </w:tc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价格/保护价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南江黑猪</w:t>
            </w:r>
          </w:p>
        </w:tc>
        <w:tc>
          <w:tcPr>
            <w:tcW w:w="1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8月龄以上90-120kg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头 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合计人民币金额（大写）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万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拾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其它要求：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南江黑猪，商品猪（阉割），健康无疾病；农家传统饲养，饲喂猪草、粮食、蔬菜等；饲养时间在8个月以上，体重90-120kg；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质量要求及收购时间约定：国家有关部门有明确规定的，按规定标准确定生猪的等级和质量；国家有关部门无明文规定的，由甲、乙双方当事人协商确定。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收购时间（乙方交付产品即生猪的时间）：自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生猪的检疫办法及检疫费用支付：国家或地方主管部门有卫生检疫规定的，按国家或地方主管部门规定进行检疫；国家或地方主管部门无检疫规定的，有双方当事人协商检疫办法。但双方均应支持与协助动物防疫监督机构依法进行检疫，并按照国家财政、物价行政管理部门的规定交纳检疫费用。由收购方支付生猪产地检疫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货款结算与奖售办法。货款结算按下列下列方式执行；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（1）订金支付：签订合同之日，按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元/头支付订金，结算时抵作货款。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（2）货款支付方式：采取现金结算或银行转账方式，交付生猪时当场付清余款。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（3）奖售办法：达成交易（收购完成）后，奖励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收购运输办法由甲方上门收购或乙方按指定的地点投售。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 双方可约定保护价，当交货时市场收购价格低于保护价时，以保护价为准；市场收购价格高于保护价时，双方可协商上调价格。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违约责任：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甲方延迟支付收购款的，应当每日按照迟延部分价款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甲方未按约定时间收购生猪，甲方需赔偿乙方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元/头（不退还订金，作为赔偿金）。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乙方交售的生猪不符合规格和质量标准的甲方可以拒收。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乙方未征得甲方同意私自出售所定猪只的，或未按约定提供生猪的，须赔偿甲方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元/头，并退还订金。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在合同期内因发生自然灾害、重大疫情等不可抗力，致使当事人乙方不能履行、或不能完全履行合同的，应向收购方当事人及时通报理由，经当地兽医站证实后，不负违约责任，并允许变更或解除合同，全部或部分退还甲方订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争议解决方式：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10.1 本合同一式二份，合同各方各执一份。各份合同文本具有同等法律效力。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10.2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BBFF5C7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1DE2717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48F6196"/>
    <w:rsid w:val="75644A9D"/>
    <w:rsid w:val="75F70816"/>
    <w:rsid w:val="76C229AB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BE200D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