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单元门供货及安装工程合同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二、承包方式、承包内容、界面划分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1.承包方式：包工包料（包括但不限于：包机械设备、包制作、包安装、包质量、包工期、包安全、包文明施工、包验收等所有与本工程相关的一切工作内容）。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2.承包内容：</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楼栋单元门供货及安装工程。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工程内容：依据图纸所示，本工程承包范围包括（但不限于）供货、施工、竣工验收、竣工资料整理汇总及提供、验收前成品保护、人员培训、维修保养、保修以及为完成全部单元门工程所需的其他内容和服务：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（1）根据甲方提供的工程范围及初步图纸，完成深化设计并绘制成套施工详图及节点大样图，报甲方及设计单位审核确认；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（2）按甲方要求制作、供应所有组装到位的单元门，进行必要的成品保护措施保护后运送至工地现场，并安装完成；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（3）按甲方要求提供所有单元门的全部五金件（包括门锁、合页、拉手、闭门器等）并按进度计划安装完成；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（4）完成按规范要求规定的各类检测试验并取得合格的试验报告，费用已含在合同总价内；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（5）现场进行实样核对，门扇、门框、门套等现场切开核对大样图（若需要），费用已含在合同价款内；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（6）与智能化单位共同完成单元门的调试与验收，负责完成技防办验收（若需要）；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（7）所有单元门的供应与安装过程中与其他施工单位的配合及安装完成后的产品保护工作，直至移交物业；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（8）免费更换在交付给物业验收前的任何有缺损的单元门或零部件；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（9）服从总承包方的管理。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以上工程内容和承包范围的划分是暂定的，甲方有权根据项目发展需要，调整上述工程范围或其内容，对此，乙方无异议。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3.界面划分：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63"/>
        <w:gridCol w:w="3221"/>
        <w:gridCol w:w="1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单元门分包范围内工作</w:t>
            </w:r>
          </w:p>
        </w:tc>
        <w:tc>
          <w:tcPr>
            <w:tcW w:w="32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总包范围内工作</w:t>
            </w:r>
          </w:p>
        </w:tc>
        <w:tc>
          <w:tcPr>
            <w:tcW w:w="1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其他分包范围内工作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1.按合同进度计划，完成所有单元门的制作、运输、装卸、安装、调试验收；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2.在单元门安装过程中对原土建结构装饰施工破坏的修复（若有）；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3.做好必要的成品保护措施；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4.配合单元门框预留孔洞、埋管等并进行专业封堵。</w:t>
            </w:r>
          </w:p>
        </w:tc>
        <w:tc>
          <w:tcPr>
            <w:tcW w:w="32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1.总包负责收口和门边结构洞口修补工作，并提供安装基准标高；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2.提供施工用水、电及施工材料堆放材料间；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3.按施工图完成相关的预埋管、预留孔洞、构件预埋工作。</w:t>
            </w:r>
          </w:p>
        </w:tc>
        <w:tc>
          <w:tcPr>
            <w:tcW w:w="19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1.智能化单位进行门锁连线的施工。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1.质量标准：合格。详见专用条款。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2.本工程质量标准必须符合国家及地方标准和规范。若本合同中约定的任何工程质量标准与国家及地方标准有异，则按要求较高者执行。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3.处罚措施：未能一次性达到工程质量标准或未能一次性验收通过则按合同总价的 5% 予以处罚。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1.合同形式：本合同形式选用</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（①固定总价；②固定单价）；合同价款：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内容包括但不限于设计、安装、测试、验收合格及材料价之任何市场差价、管理费、综合费率、保险、利润和国家规定的应由乙方承担的任何收费、税金（包括但不限于进口关税及工程税等）、必须的加班费、费率或汇率的变动、专利费、包装、空运、海运、国外及本地仓储、运输、货品迟到工地的窝工费等直至交付甲方正常使用的所有费用；本工程除发生变更外，原则上</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（①固定总价；②固定单价）不再调整。如今后发生设计变更，则按照变更前后的图纸对相应修改部位计算增减账，其余未修改的部分按合同价格执行。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是指按照图纸、规范和合同文件要求而包干的完全价格。不论其对应的项目特征是否描述完全，都将被认为已包括实施对应项目所有工作内容及完成此工作内容而必须的各种辅助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（3）具体合同价详见合同计价清单。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（4）措施费用，如临时设施费用、设计费用、检测以及其他所有措施费用等视为已经包含在</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（5）总承包方的配合管理服务费：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确认已充分考虑政府行为的交通管制和停工要求，以及停电、停水、二次驳运、施工场地可能不足、成品保护等所需措施的设计、施工、安装、运行和维护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（7）任何未列在工程量清单内而却是完成图纸内容必须的项目，其价款已被包含在其他已填报价款的项目中，今后不作调增，意即：任何的缺漏项的错误皆由乙方承担并视为已被双方接受。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（1）暂定工程量（固定总价合同不适用）；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（4）本合同图纸范围外的新增工作，按“工程变更价款的确定”的约定处理。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2.进度款：每月按双方核定已完成工程量，支付至已完成产值的70%。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3.工程完工经发包方确认后，支付至合同总价的85%。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4.结算款：整体工程交付并且结算完成后，支付至结算总价款的95%。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5.保修款：结算总价的5%为保修款，自竣工验收合格日起预留两年，期满支付。保修期以保修协议书为准。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6.进度款支付前乙方应向甲方提供等额、合规、符合甲方要求的发票；结算款付款前乙方向甲方提供结算款全额发票（包含剩余5%质保金）否则甲方有权顺延付款且不承担任何责任。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签订合同后一周内乙方需向甲方支付履约保证金：合同总价的5%，即</w:t>
      </w:r>
      <w:r>
        <w:rPr>
          <w:rFonts w:hint="eastAsia" w:ascii="宋体" w:hAnsi="宋体" w:eastAsia="宋体" w:cs="宋体"/>
          <w:sz w:val="24"/>
          <w:szCs w:val="24"/>
          <w:u w:val="single"/>
        </w:rPr>
        <w:t>    </w:t>
      </w:r>
      <w:r>
        <w:rPr>
          <w:rFonts w:hint="eastAsia" w:ascii="宋体" w:hAnsi="宋体" w:eastAsia="宋体" w:cs="宋体"/>
          <w:sz w:val="24"/>
          <w:szCs w:val="24"/>
        </w:rPr>
        <w:t>元，履约保证金在竣工验收通过且无任何违约责任时15个工作日内无息返还；如有违约责任则需进行结算，按结算后的最终数目进行返还。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九、质保要求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乙方承诺按时支付农民工工资，履约期内因乙方引起的民工闹事，每次罚款10万，同时甲方保留解除合同的权利。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1.合同订立时间：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2.合同订立地点：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3.合同份数：本合同一式捌份，甲方执陆份，乙方执贰份，盖章即生效。</w:t>
      </w:r>
    </w:p>
    <w:tbl>
      <w:tblPr>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30"/>
        <w:gridCol w:w="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c>
          <w:tcPr>
            <w:tcW w:w="7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w:t>
      </w:r>
      <w:r>
        <w:rPr>
          <w:rFonts w:hint="eastAsia" w:ascii="宋体" w:hAnsi="宋体" w:eastAsia="宋体" w:cs="宋体"/>
          <w:b/>
          <w:sz w:val="24"/>
          <w:szCs w:val="24"/>
        </w:rPr>
        <w:t xml:space="preserve">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w:t>
      </w:r>
      <w:r>
        <w:rPr>
          <w:rFonts w:hint="eastAsia" w:ascii="宋体" w:hAnsi="宋体" w:eastAsia="宋体" w:cs="宋体"/>
          <w:b/>
          <w:sz w:val="24"/>
          <w:szCs w:val="24"/>
        </w:rPr>
        <w:t xml:space="preserve">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乙方应遵守工程建设安全生产有关管理规定，严格按安全标准组织施工，采取必要的安全防护措施，消除事故隐患，并随时接受行业安全检查人员依法实施的监督检查。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1.计划工期具体节点（开工日期以甲方书面通知为准）：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4.总工期每拖期1天，从结算款中扣除结算总造价的1%，超过15天甲方有权解除合同；若影响总包工程进度，则应承担相应责任。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1.质量标准：工程竣工验收一次性合格，并达到规定验收标准。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2.如工程竣工验收不合格，乙方应按甲方要求在规定的期限内整改至合格，并承担本合同总价5％的违约金；乙方拒绝整改或整改后仍不合格的，甲方有权终止本合同并追究乙方的违约责任。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1.为了在施工期间确保施工区域周围环境的整洁和交通的正常进行，乙方必须按主管部门有关规定结合本工程施工，在施工组织设计中明确安全文明生产具体措施。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2.乙方在签订施工承包合同的同时，必须与甲方签订安全生产协议书和文明施工协议书，乙方如违反规定野蛮施工，甲方有权限令停工整改，一切损失由乙方自负。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五、材料技术要求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厚度：</w:t>
      </w:r>
      <w:r>
        <w:rPr>
          <w:rFonts w:hint="eastAsia" w:ascii="宋体" w:hAnsi="宋体" w:eastAsia="宋体" w:cs="宋体"/>
          <w:sz w:val="24"/>
          <w:szCs w:val="24"/>
          <w:u w:val="single"/>
        </w:rPr>
        <w:t>    </w:t>
      </w:r>
      <w:r>
        <w:rPr>
          <w:rFonts w:hint="eastAsia" w:ascii="宋体" w:hAnsi="宋体" w:eastAsia="宋体" w:cs="宋体"/>
          <w:sz w:val="24"/>
          <w:szCs w:val="24"/>
        </w:rPr>
        <w:t>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门扇面板材质：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面板厚度：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门扇厚度：</w:t>
      </w:r>
      <w:r>
        <w:rPr>
          <w:rFonts w:hint="eastAsia" w:ascii="宋体" w:hAnsi="宋体" w:eastAsia="宋体" w:cs="宋体"/>
          <w:sz w:val="24"/>
          <w:szCs w:val="24"/>
          <w:u w:val="single"/>
        </w:rPr>
        <w:t>    </w:t>
      </w:r>
      <w:r>
        <w:rPr>
          <w:rFonts w:hint="eastAsia" w:ascii="宋体" w:hAnsi="宋体" w:eastAsia="宋体" w:cs="宋体"/>
          <w:sz w:val="24"/>
          <w:szCs w:val="24"/>
        </w:rPr>
        <w:t>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门体玻璃由</w:t>
      </w:r>
      <w:r>
        <w:rPr>
          <w:rFonts w:hint="eastAsia" w:ascii="宋体" w:hAnsi="宋体" w:eastAsia="宋体" w:cs="宋体"/>
          <w:sz w:val="24"/>
          <w:szCs w:val="24"/>
          <w:u w:val="single"/>
        </w:rPr>
        <w:t>        </w:t>
      </w:r>
      <w:r>
        <w:rPr>
          <w:rFonts w:hint="eastAsia" w:ascii="宋体" w:hAnsi="宋体" w:eastAsia="宋体" w:cs="宋体"/>
          <w:sz w:val="24"/>
          <w:szCs w:val="24"/>
        </w:rPr>
        <w:t>（例如：5mm+12+5mm）钢化玻璃制成；门框与玻璃镶嵌及门框四周使用密封胶进行密封；锁具等关键部位有加厚钢板加以保护；门体表面粉末喷涂，颜色为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3.拉手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颜色及造型如下图及封样：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颜色及造型如下图及封样：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5.闭门器拉力</w:t>
      </w:r>
      <w:r>
        <w:rPr>
          <w:rFonts w:hint="eastAsia" w:ascii="宋体" w:hAnsi="宋体" w:eastAsia="宋体" w:cs="宋体"/>
          <w:sz w:val="24"/>
          <w:szCs w:val="24"/>
          <w:u w:val="single"/>
        </w:rPr>
        <w:t>        </w:t>
      </w:r>
      <w:r>
        <w:rPr>
          <w:rFonts w:hint="eastAsia" w:ascii="宋体" w:hAnsi="宋体" w:eastAsia="宋体" w:cs="宋体"/>
          <w:sz w:val="24"/>
          <w:szCs w:val="24"/>
        </w:rPr>
        <w:t>；磁力吸锁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6.防盗安全门被破坏时间：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7.电控锁采用静音锁，锁具安装部位应采用的防钻加强钢板厚度≥3mm；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8.门铰链被破坏时间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9.双扇门非常开单边门在&gt;4000N的力量下变形≤12mm；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10.门扇在2000N的力量下作用1分钟时变形≤5 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11.关门噪声≤</w:t>
      </w:r>
      <w:r>
        <w:rPr>
          <w:rFonts w:hint="eastAsia" w:ascii="宋体" w:hAnsi="宋体" w:eastAsia="宋体" w:cs="宋体"/>
          <w:sz w:val="24"/>
          <w:szCs w:val="24"/>
          <w:u w:val="single"/>
        </w:rPr>
        <w:t>    </w:t>
      </w:r>
      <w:r>
        <w:rPr>
          <w:rFonts w:hint="eastAsia" w:ascii="宋体" w:hAnsi="宋体" w:eastAsia="宋体" w:cs="宋体"/>
          <w:sz w:val="24"/>
          <w:szCs w:val="24"/>
        </w:rPr>
        <w:t>dB；</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12.其他材质要求</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74"/>
        <w:gridCol w:w="3699"/>
        <w:gridCol w:w="648"/>
        <w:gridCol w:w="24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36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型号、规格、主要技术参数</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产地</w:t>
            </w:r>
          </w:p>
        </w:tc>
        <w:tc>
          <w:tcPr>
            <w:tcW w:w="24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性能指标验收标准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1.门槛</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2.内衬</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3.防火填充材料</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4.锁具</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5.暗插销</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6.铰链</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13.设备、材料其他技术要求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（1）乙方应提供拟采用的材料样品和相关的技术说明，乙方在订货及选用前，必须提供样品和详细的产品说明资料给监理工程师和甲方，经其确认后才能采用。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（2）乙方所采用门框、门扇、锁具及其他附件等必须有明确的产品质量和规格标准。乙方应提供相应的标准。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（3）产品质量符合国家标准或相关行业标准。焊接部位保证无虚焊、漏焊、假焊，表面严整、无明显凹坑变形，表面涂层均匀、无露底，门开启自如。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14.质量保证措施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（1）设备、材料的送检、储运、安装、施工及验收应按设计、规范等要求进行。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（2）货物到场后及安装结束后，乙方应采取有效措施防止单元门半成品、成品受到破坏。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15.验收及维修要求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（1）竣工验收前，乙方应对全系统进行自检，并在竣工前7天向监理工程师及甲方提交自检工作全过程记录。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（2）在检查测试过程中发现单元门、相应装置或部件与设计、施工规范或监理工程师通知不符，乙方应进行调整或更换，并进一步校验至合格为止，由此发生的费用由乙方承担。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（3）乙方应在保修期间全面负责，保证运行和操作的正常，并进行定期维护和保养。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（1）对于在整个本专业工程范围内，但不在本次合同范围内的其他项目，乙方有义务给予配合并不得以任何理由拒绝。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（2）对于乙方拟采用的设备或材料，甲方保留更改材料类型、产品品牌或供应商及相应调整单价的权利。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（3）本合同的承建依据所列的施工及验收规范并非是本项目的全部要求，甲方及监理工程师将根据实际情况提出相应技术要求。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17.本工程适用的标准和规范文件：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《工程建设标准强制性条文》2013年版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《楼宇对讲系统及电控防盗门通用技术条件》GA/T72-2005及最新颁发的新规范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市楼宇对讲电控防盗门及最新颁发的技术要求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《建筑工程施工质量验收统一标准》（GB50300-2016）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《楼宇对讲系统及电控防盗门通用技术条件》GA/T72-2005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《高层民用建筑设计防火规范》（GB50016-2014）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《建筑门窗术语》（GB5823-2008）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《建筑材料不燃性试验方法》（GBT5464-2010）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《建筑装饰装修工程质量验收规范》（GB50210-2016）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其他补充：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标准、规范及规程仅是本工程建筑安装的最基本依据，并未包括实施中所涉及到的所有标准、规范和规程。在合同有效期内，如相关主管部门对上述的规范、规程、标准等进行了修订或更新，或者甲方对其制定的相关补充规定或要求进行了修订，则乙方应以更新或修订后的版本为准，并予以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六、施工技术要求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1.收口：乙方需在施工前预先和其它单位协调有关收口的工作。乙方收口工作主要相关单位如下：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（1）主体结构施工单位；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（2）所有建筑之机电系统单位；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（3）内部装饰单位。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1.成品保护就是在工程管理中采用有组织和技术的手段，对已施工的工程产品或工序进行保护，防止破坏；现场成品保护由乙方统一协调管理，监理工程师进行现场监督和控制。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2.合理安排施工工序，避免倒工序施工，影响成品保护、破坏成品。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3.成品与半成品必须有专门的场所放置，并派专人管理。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4.交叉施工阶段，上下道工序的交接双方要派专人在现场监护，确保上下道工序的成品不受损坏。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5.加强值班，监督进出人员遵守规定，有效保护成品。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6.安装后必须指定清扫方案，防止表面发生异常。其清扫施工工具、清扫方案和程序等在施工组织设计中明确。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7.乙方必须提供产品安装后详细的保护措施和方案，并派专人负责，常住现场配合甲方进行监督和保护，直至本项工程验收通过为止。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8.乙方在进行产品安装的同时不允许破坏其它厂家的产品，否则将承担相应的赔偿和工期索赔。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9.乙方负责未移交给甲方前的全过程的成品保管、保护，交付的产品必须符合合同规定的质量验收标准。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工程竣工验收交接前的成品保护工作全部由乙方负责，乙方对所引起的任何损坏负责更换、修复并承担费用，延误的工期不予顺延；若乙方未按要求进行成品保护，除负责修复并承担费用外，仍应按合同价的1%向甲方支付违约金，并赔偿由此引起的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八、竣工验收及保修要求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（3）竣工验收时，乙方应提供四套完整竣工图给甲方归档。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保修期间，乙方必须在接到甲方维修指令后24小时内进行维修。否则甲方有权单方面另行组织人力进行维修，费用从保修金中扣除，而且乙方须对甲方的维修结果继续负责。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3.总承包单位代表：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D26E5F"/>
    <w:rsid w:val="6E7571D2"/>
    <w:rsid w:val="6F144006"/>
    <w:rsid w:val="72353488"/>
    <w:rsid w:val="7380096A"/>
    <w:rsid w:val="73CF427D"/>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2019-06-17T13:25:45Z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