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val="0"/>
          <w:bCs w:val="0"/>
        </w:rPr>
      </w:pPr>
      <w:r>
        <w:rPr>
          <w:rFonts w:hint="eastAsia"/>
          <w:b w:val="0"/>
          <w:bCs w:val="0"/>
        </w:rPr>
        <w:t>汽车买卖合同</w:t>
      </w: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5"/>
        <w:gridCol w:w="4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出卖人（甲方）：</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7"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法定代表人：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委托代理人：</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联系电话：</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9"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传真：</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邮政编码：</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开户银行：</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账号：</w:t>
            </w:r>
            <w:r>
              <w:rPr>
                <w:rFonts w:hint="eastAsia" w:ascii="宋体" w:hAnsi="宋体" w:eastAsia="宋体" w:cs="宋体"/>
                <w:b w:val="0"/>
                <w:bCs w:val="0"/>
                <w:sz w:val="24"/>
                <w:szCs w:val="24"/>
                <w:u w:val="single"/>
              </w:rPr>
              <w:t xml:space="preserve">                            </w:t>
            </w:r>
          </w:p>
        </w:tc>
      </w:tr>
    </w:tbl>
    <w:p>
      <w:pPr>
        <w:jc w:val="left"/>
        <w:rPr>
          <w:rFonts w:ascii="宋体" w:hAnsi="宋体" w:eastAsia="宋体" w:cs="宋体"/>
          <w:b w:val="0"/>
          <w:bCs w:val="0"/>
          <w:sz w:val="24"/>
          <w:szCs w:val="24"/>
        </w:rPr>
      </w:pPr>
    </w:p>
    <w:tbl>
      <w:tblPr>
        <w:tblStyle w:val="2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5"/>
        <w:gridCol w:w="4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买受人（乙方）：</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07"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法定代表人：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委托代理人：</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联系人：</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联系电话：</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9"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传真：</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邮政编码：</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1" w:hRule="atLeast"/>
        </w:trPr>
        <w:tc>
          <w:tcPr>
            <w:tcW w:w="4155"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开户银行：</w:t>
            </w:r>
            <w:r>
              <w:rPr>
                <w:rFonts w:hint="eastAsia" w:ascii="宋体" w:hAnsi="宋体" w:eastAsia="宋体" w:cs="宋体"/>
                <w:b w:val="0"/>
                <w:bCs w:val="0"/>
                <w:sz w:val="24"/>
                <w:szCs w:val="24"/>
                <w:u w:val="single"/>
              </w:rPr>
              <w:t xml:space="preserve">                     </w:t>
            </w:r>
          </w:p>
        </w:tc>
        <w:tc>
          <w:tcPr>
            <w:tcW w:w="4151" w:type="dxa"/>
          </w:tcPr>
          <w:p>
            <w:pPr>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账号：</w:t>
            </w:r>
            <w:r>
              <w:rPr>
                <w:rFonts w:hint="eastAsia" w:ascii="宋体" w:hAnsi="宋体" w:eastAsia="宋体" w:cs="宋体"/>
                <w:b w:val="0"/>
                <w:bCs w:val="0"/>
                <w:sz w:val="24"/>
                <w:szCs w:val="24"/>
                <w:u w:val="single"/>
              </w:rPr>
              <w:t xml:space="preserve">                            </w:t>
            </w:r>
          </w:p>
        </w:tc>
      </w:tr>
    </w:tbl>
    <w:p>
      <w:pPr>
        <w:spacing w:before="312" w:beforeLines="100" w:after="312" w:afterLines="100"/>
        <w:ind w:firstLine="480" w:firstLineChars="200"/>
        <w:jc w:val="left"/>
        <w:rPr>
          <w:rFonts w:ascii="宋体" w:hAnsi="宋体" w:eastAsia="宋体" w:cs="宋体"/>
          <w:b w:val="0"/>
          <w:bCs w:val="0"/>
          <w:kern w:val="0"/>
          <w:sz w:val="24"/>
          <w:szCs w:val="24"/>
        </w:rPr>
      </w:pPr>
      <w:r>
        <w:rPr>
          <w:rFonts w:hint="eastAsia" w:ascii="宋体" w:hAnsi="宋体" w:eastAsia="宋体" w:cs="宋体"/>
          <w:b w:val="0"/>
          <w:bCs w:val="0"/>
          <w:kern w:val="0"/>
          <w:sz w:val="24"/>
          <w:szCs w:val="24"/>
        </w:rPr>
        <w:t>甲、乙双方依据《中华人民共和国合同法》及其他有关法律、法规的规定，在平等、自愿、协商的基础上，就买卖汽车事宜订立本合同。</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一、汽车名称、数量及价款</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415"/>
        <w:gridCol w:w="964"/>
        <w:gridCol w:w="1284"/>
        <w:gridCol w:w="96"/>
        <w:gridCol w:w="908"/>
        <w:gridCol w:w="378"/>
        <w:gridCol w:w="1382"/>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品 牌</w:t>
            </w:r>
          </w:p>
        </w:tc>
        <w:tc>
          <w:tcPr>
            <w:tcW w:w="1379" w:type="dxa"/>
            <w:gridSpan w:val="2"/>
            <w:shd w:val="clear" w:color="auto" w:fill="auto"/>
            <w:vAlign w:val="center"/>
          </w:tcPr>
          <w:p>
            <w:pPr>
              <w:jc w:val="center"/>
              <w:rPr>
                <w:rFonts w:ascii="宋体" w:hAnsi="宋体" w:eastAsia="宋体" w:cs="宋体"/>
                <w:b w:val="0"/>
                <w:bCs w:val="0"/>
                <w:sz w:val="24"/>
                <w:szCs w:val="24"/>
              </w:rPr>
            </w:pPr>
          </w:p>
        </w:tc>
        <w:tc>
          <w:tcPr>
            <w:tcW w:w="138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型 号</w:t>
            </w:r>
          </w:p>
        </w:tc>
        <w:tc>
          <w:tcPr>
            <w:tcW w:w="908" w:type="dxa"/>
            <w:shd w:val="clear" w:color="auto" w:fill="auto"/>
            <w:vAlign w:val="center"/>
          </w:tcPr>
          <w:p>
            <w:pPr>
              <w:jc w:val="center"/>
              <w:rPr>
                <w:rFonts w:ascii="宋体" w:hAnsi="宋体" w:eastAsia="宋体" w:cs="宋体"/>
                <w:b w:val="0"/>
                <w:bCs w:val="0"/>
                <w:sz w:val="24"/>
                <w:szCs w:val="24"/>
              </w:rPr>
            </w:pPr>
          </w:p>
        </w:tc>
        <w:tc>
          <w:tcPr>
            <w:tcW w:w="176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生产厂家</w:t>
            </w:r>
          </w:p>
        </w:tc>
        <w:tc>
          <w:tcPr>
            <w:tcW w:w="1384" w:type="dxa"/>
            <w:shd w:val="clear" w:color="auto" w:fill="auto"/>
            <w:vAlign w:val="center"/>
          </w:tcPr>
          <w:p>
            <w:pPr>
              <w:jc w:val="center"/>
              <w:rPr>
                <w:rFonts w:ascii="宋体" w:hAnsi="宋体" w:eastAsia="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1485" w:type="dxa"/>
            <w:shd w:val="clear" w:color="auto" w:fill="auto"/>
            <w:vAlign w:val="center"/>
          </w:tcPr>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生产国</w:t>
            </w:r>
          </w:p>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及产地</w:t>
            </w:r>
          </w:p>
        </w:tc>
        <w:tc>
          <w:tcPr>
            <w:tcW w:w="1379" w:type="dxa"/>
            <w:gridSpan w:val="2"/>
            <w:shd w:val="clear" w:color="auto" w:fill="auto"/>
            <w:vAlign w:val="center"/>
          </w:tcPr>
          <w:p>
            <w:pPr>
              <w:spacing w:line="20" w:lineRule="atLeast"/>
              <w:jc w:val="center"/>
              <w:rPr>
                <w:rFonts w:ascii="宋体" w:hAnsi="宋体" w:eastAsia="宋体" w:cs="宋体"/>
                <w:b w:val="0"/>
                <w:bCs w:val="0"/>
                <w:sz w:val="24"/>
                <w:szCs w:val="24"/>
              </w:rPr>
            </w:pPr>
          </w:p>
        </w:tc>
        <w:tc>
          <w:tcPr>
            <w:tcW w:w="1380" w:type="dxa"/>
            <w:gridSpan w:val="2"/>
            <w:shd w:val="clear" w:color="auto" w:fill="auto"/>
            <w:vAlign w:val="center"/>
          </w:tcPr>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发动机号</w:t>
            </w:r>
          </w:p>
        </w:tc>
        <w:tc>
          <w:tcPr>
            <w:tcW w:w="908" w:type="dxa"/>
            <w:shd w:val="clear" w:color="auto" w:fill="auto"/>
            <w:vAlign w:val="center"/>
          </w:tcPr>
          <w:p>
            <w:pPr>
              <w:spacing w:line="20" w:lineRule="atLeast"/>
              <w:jc w:val="center"/>
              <w:rPr>
                <w:rFonts w:ascii="宋体" w:hAnsi="宋体" w:eastAsia="宋体" w:cs="宋体"/>
                <w:b w:val="0"/>
                <w:bCs w:val="0"/>
                <w:sz w:val="24"/>
                <w:szCs w:val="24"/>
              </w:rPr>
            </w:pPr>
          </w:p>
        </w:tc>
        <w:tc>
          <w:tcPr>
            <w:tcW w:w="1760" w:type="dxa"/>
            <w:gridSpan w:val="2"/>
            <w:shd w:val="clear" w:color="auto" w:fill="auto"/>
            <w:vAlign w:val="center"/>
          </w:tcPr>
          <w:p>
            <w:pPr>
              <w:spacing w:line="20" w:lineRule="atLeast"/>
              <w:jc w:val="center"/>
              <w:rPr>
                <w:rFonts w:ascii="宋体" w:hAnsi="宋体" w:eastAsia="宋体" w:cs="宋体"/>
                <w:b w:val="0"/>
                <w:bCs w:val="0"/>
                <w:sz w:val="24"/>
                <w:szCs w:val="24"/>
              </w:rPr>
            </w:pPr>
            <w:r>
              <w:rPr>
                <w:rFonts w:hint="eastAsia" w:ascii="宋体" w:hAnsi="宋体" w:eastAsia="宋体" w:cs="宋体"/>
                <w:b w:val="0"/>
                <w:bCs w:val="0"/>
                <w:sz w:val="24"/>
                <w:szCs w:val="24"/>
              </w:rPr>
              <w:t>合格证号</w:t>
            </w:r>
          </w:p>
        </w:tc>
        <w:tc>
          <w:tcPr>
            <w:tcW w:w="1384" w:type="dxa"/>
            <w:shd w:val="clear" w:color="auto" w:fill="auto"/>
            <w:vAlign w:val="center"/>
          </w:tcPr>
          <w:p>
            <w:pPr>
              <w:spacing w:line="20" w:lineRule="atLeast"/>
              <w:ind w:firstLine="600" w:firstLineChars="250"/>
              <w:jc w:val="center"/>
              <w:rPr>
                <w:rFonts w:ascii="宋体" w:hAnsi="宋体" w:eastAsia="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车架号</w:t>
            </w:r>
          </w:p>
        </w:tc>
        <w:tc>
          <w:tcPr>
            <w:tcW w:w="1379" w:type="dxa"/>
            <w:gridSpan w:val="2"/>
            <w:shd w:val="clear" w:color="auto" w:fill="auto"/>
            <w:vAlign w:val="center"/>
          </w:tcPr>
          <w:p>
            <w:pPr>
              <w:jc w:val="center"/>
              <w:rPr>
                <w:rFonts w:ascii="宋体" w:hAnsi="宋体" w:eastAsia="宋体" w:cs="宋体"/>
                <w:b w:val="0"/>
                <w:bCs w:val="0"/>
                <w:sz w:val="24"/>
                <w:szCs w:val="24"/>
              </w:rPr>
            </w:pPr>
          </w:p>
        </w:tc>
        <w:tc>
          <w:tcPr>
            <w:tcW w:w="138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库存号</w:t>
            </w:r>
          </w:p>
        </w:tc>
        <w:tc>
          <w:tcPr>
            <w:tcW w:w="908" w:type="dxa"/>
            <w:shd w:val="clear" w:color="auto" w:fill="auto"/>
            <w:vAlign w:val="center"/>
          </w:tcPr>
          <w:p>
            <w:pPr>
              <w:jc w:val="center"/>
              <w:rPr>
                <w:rFonts w:ascii="宋体" w:hAnsi="宋体" w:eastAsia="宋体" w:cs="宋体"/>
                <w:b w:val="0"/>
                <w:bCs w:val="0"/>
                <w:sz w:val="24"/>
                <w:szCs w:val="24"/>
              </w:rPr>
            </w:pPr>
          </w:p>
        </w:tc>
        <w:tc>
          <w:tcPr>
            <w:tcW w:w="176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数量（辆）</w:t>
            </w:r>
          </w:p>
        </w:tc>
        <w:tc>
          <w:tcPr>
            <w:tcW w:w="1384" w:type="dxa"/>
            <w:shd w:val="clear" w:color="auto" w:fill="auto"/>
            <w:vAlign w:val="center"/>
          </w:tcPr>
          <w:p>
            <w:pPr>
              <w:jc w:val="center"/>
              <w:rPr>
                <w:rFonts w:ascii="宋体" w:hAnsi="宋体" w:eastAsia="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900" w:type="dxa"/>
            <w:gridSpan w:val="2"/>
            <w:vMerge w:val="restart"/>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车  身</w:t>
            </w:r>
          </w:p>
          <w:p>
            <w:pPr>
              <w:jc w:val="center"/>
              <w:rPr>
                <w:rFonts w:ascii="宋体" w:hAnsi="宋体" w:eastAsia="宋体" w:cs="宋体"/>
                <w:b w:val="0"/>
                <w:bCs w:val="0"/>
                <w:sz w:val="24"/>
                <w:szCs w:val="24"/>
              </w:rPr>
            </w:pPr>
            <w:r>
              <w:rPr>
                <w:rFonts w:hint="eastAsia" w:ascii="宋体" w:hAnsi="宋体" w:eastAsia="宋体" w:cs="宋体"/>
                <w:b w:val="0"/>
                <w:bCs w:val="0"/>
                <w:sz w:val="24"/>
                <w:szCs w:val="24"/>
              </w:rPr>
              <w:t>颜  色</w:t>
            </w:r>
          </w:p>
        </w:tc>
        <w:tc>
          <w:tcPr>
            <w:tcW w:w="2248"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首选：</w:t>
            </w:r>
          </w:p>
        </w:tc>
        <w:tc>
          <w:tcPr>
            <w:tcW w:w="1382" w:type="dxa"/>
            <w:gridSpan w:val="3"/>
            <w:vMerge w:val="restart"/>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内  饰</w:t>
            </w:r>
          </w:p>
          <w:p>
            <w:pPr>
              <w:jc w:val="center"/>
              <w:rPr>
                <w:rFonts w:ascii="宋体" w:hAnsi="宋体" w:eastAsia="宋体" w:cs="宋体"/>
                <w:b w:val="0"/>
                <w:bCs w:val="0"/>
                <w:sz w:val="24"/>
                <w:szCs w:val="24"/>
              </w:rPr>
            </w:pPr>
            <w:r>
              <w:rPr>
                <w:rFonts w:hint="eastAsia" w:ascii="宋体" w:hAnsi="宋体" w:eastAsia="宋体" w:cs="宋体"/>
                <w:b w:val="0"/>
                <w:bCs w:val="0"/>
                <w:sz w:val="24"/>
                <w:szCs w:val="24"/>
              </w:rPr>
              <w:t>颜  色</w:t>
            </w:r>
          </w:p>
        </w:tc>
        <w:tc>
          <w:tcPr>
            <w:tcW w:w="2766"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首选：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900" w:type="dxa"/>
            <w:gridSpan w:val="2"/>
            <w:vMerge w:val="continue"/>
            <w:shd w:val="clear" w:color="auto" w:fill="auto"/>
          </w:tcPr>
          <w:p>
            <w:pPr>
              <w:jc w:val="left"/>
              <w:rPr>
                <w:rFonts w:ascii="宋体" w:hAnsi="宋体" w:eastAsia="宋体" w:cs="宋体"/>
                <w:b w:val="0"/>
                <w:bCs w:val="0"/>
                <w:sz w:val="24"/>
                <w:szCs w:val="24"/>
              </w:rPr>
            </w:pPr>
          </w:p>
        </w:tc>
        <w:tc>
          <w:tcPr>
            <w:tcW w:w="2248"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次选：</w:t>
            </w:r>
          </w:p>
        </w:tc>
        <w:tc>
          <w:tcPr>
            <w:tcW w:w="1382" w:type="dxa"/>
            <w:gridSpan w:val="3"/>
            <w:vMerge w:val="continue"/>
            <w:shd w:val="clear" w:color="auto" w:fill="auto"/>
          </w:tcPr>
          <w:p>
            <w:pPr>
              <w:jc w:val="left"/>
              <w:rPr>
                <w:rFonts w:ascii="宋体" w:hAnsi="宋体" w:eastAsia="宋体" w:cs="宋体"/>
                <w:b w:val="0"/>
                <w:bCs w:val="0"/>
                <w:sz w:val="24"/>
                <w:szCs w:val="24"/>
              </w:rPr>
            </w:pPr>
          </w:p>
        </w:tc>
        <w:tc>
          <w:tcPr>
            <w:tcW w:w="2766" w:type="dxa"/>
            <w:gridSpan w:val="2"/>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次选：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9"/>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车款总计（人民币）：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9"/>
            <w:shd w:val="clear" w:color="auto" w:fill="auto"/>
          </w:tcPr>
          <w:p>
            <w:pPr>
              <w:jc w:val="left"/>
              <w:rPr>
                <w:rFonts w:ascii="宋体" w:hAnsi="宋体" w:eastAsia="宋体" w:cs="宋体"/>
                <w:b w:val="0"/>
                <w:bCs w:val="0"/>
                <w:sz w:val="24"/>
                <w:szCs w:val="24"/>
              </w:rPr>
            </w:pPr>
            <w:r>
              <w:rPr>
                <w:rFonts w:hint="eastAsia" w:ascii="宋体" w:hAnsi="宋体" w:eastAsia="宋体" w:cs="宋体"/>
                <w:b w:val="0"/>
                <w:bCs w:val="0"/>
                <w:sz w:val="24"/>
                <w:szCs w:val="24"/>
              </w:rPr>
              <w:t>应付总计（人民币）：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trPr>
        <w:tc>
          <w:tcPr>
            <w:tcW w:w="1900" w:type="dxa"/>
            <w:gridSpan w:val="2"/>
            <w:shd w:val="clear" w:color="auto" w:fill="auto"/>
            <w:vAlign w:val="center"/>
          </w:tcPr>
          <w:p>
            <w:pPr>
              <w:jc w:val="center"/>
              <w:rPr>
                <w:rFonts w:ascii="宋体" w:hAnsi="宋体" w:eastAsia="宋体" w:cs="宋体"/>
                <w:b w:val="0"/>
                <w:bCs w:val="0"/>
                <w:sz w:val="24"/>
                <w:szCs w:val="24"/>
              </w:rPr>
            </w:pPr>
            <w:r>
              <w:rPr>
                <w:rFonts w:hint="eastAsia" w:ascii="宋体" w:hAnsi="宋体" w:eastAsia="宋体" w:cs="宋体"/>
                <w:b w:val="0"/>
                <w:bCs w:val="0"/>
                <w:sz w:val="24"/>
                <w:szCs w:val="24"/>
              </w:rPr>
              <w:t>备 注</w:t>
            </w:r>
          </w:p>
        </w:tc>
        <w:tc>
          <w:tcPr>
            <w:tcW w:w="6396" w:type="dxa"/>
            <w:gridSpan w:val="7"/>
            <w:shd w:val="clear" w:color="auto" w:fill="auto"/>
          </w:tcPr>
          <w:p>
            <w:pPr>
              <w:jc w:val="left"/>
              <w:rPr>
                <w:rFonts w:ascii="宋体" w:hAnsi="宋体" w:eastAsia="宋体" w:cs="宋体"/>
                <w:b w:val="0"/>
                <w:bCs w:val="0"/>
                <w:sz w:val="24"/>
                <w:szCs w:val="24"/>
              </w:rPr>
            </w:pPr>
          </w:p>
        </w:tc>
      </w:tr>
    </w:tbl>
    <w:p>
      <w:pPr>
        <w:ind w:firstLine="480" w:firstLineChars="200"/>
        <w:jc w:val="left"/>
        <w:rPr>
          <w:rFonts w:ascii="宋体" w:hAnsi="宋体" w:eastAsia="宋体" w:cs="宋体"/>
          <w:b w:val="0"/>
          <w:bCs w:val="0"/>
          <w:kern w:val="0"/>
          <w:sz w:val="24"/>
          <w:szCs w:val="24"/>
        </w:rPr>
      </w:pPr>
      <w:r>
        <w:rPr>
          <w:rFonts w:hint="eastAsia" w:ascii="宋体" w:hAnsi="宋体" w:eastAsia="宋体" w:cs="宋体"/>
          <w:b w:val="0"/>
          <w:bCs w:val="0"/>
          <w:kern w:val="0"/>
          <w:sz w:val="24"/>
          <w:szCs w:val="24"/>
        </w:rPr>
        <w:t>车辆交接后，乙方如需委托甲方代理上牌等服务的，双方应另签委托服务协议，乙方需另行交付有关费用和支付劳务报酬。</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二、质量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2.1 甲方出售的车辆质量，应当符合国家有关汽车产品的强制性标准，没有强制性标准的，应符合保障人身和财产安全的要求，并达到产品说明书载明的技术指标，符合政府规定的尾气排放标准。</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2.2 甲方出售的车辆，必须是经国家有关部门公布、备案的产品目录上标明的产品或合法进口的产品，并能通过公安交通管理部门的检测，可以上牌行驶。</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2.3 双方对车辆质量存在争议的，在经营者对相关问题举证后仍不能解决的，依据由双方共同指定的法定汽车质量监督检测部门的鉴定意见处理。鉴定费用由主张方垫付，由责任方承担。</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三、定金</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乙方于本合同签订之日，向甲方缴纳车款总价的</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%共计</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元人民币作为定金；车款缴清时，定金充抵购车款。乙方违约导致合同解除的，无权要求甲方退还定金；甲方违约导致合同解除的，应双倍向乙方返还定金。</w:t>
      </w:r>
    </w:p>
    <w:p>
      <w:pPr>
        <w:spacing w:before="24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四、付款方式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乙方按以下第（</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）种方式，缴纳购车款：</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4.1 一次性付款方式：在签订本合同时或在</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日前，交付全额车款共计</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元人民币，大写</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4.2 信贷付款方式：</w:t>
      </w:r>
    </w:p>
    <w:p>
      <w:pPr>
        <w:ind w:firstLine="480" w:firstLineChars="200"/>
        <w:jc w:val="left"/>
        <w:rPr>
          <w:rFonts w:ascii="宋体" w:hAnsi="宋体" w:eastAsia="宋体" w:cs="宋体"/>
          <w:b w:val="0"/>
          <w:bCs w:val="0"/>
          <w:sz w:val="24"/>
          <w:szCs w:val="24"/>
          <w:u w:val="single"/>
        </w:rPr>
      </w:pPr>
      <w:r>
        <w:rPr>
          <w:rFonts w:hint="eastAsia" w:ascii="宋体" w:hAnsi="宋体" w:eastAsia="宋体" w:cs="宋体"/>
          <w:b w:val="0"/>
          <w:bCs w:val="0"/>
          <w:sz w:val="24"/>
          <w:szCs w:val="24"/>
        </w:rPr>
        <w:t>在签订本合同时，先付车款总额的</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%共计</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元人民币（大写：</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元人民币）作为首付款；余款共</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元人民币（大写：</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元人民币）于</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日前，通过从金融机构</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银行办理贷款付清。</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4.3 其他付款方式：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spacing w:before="312" w:beforeLines="10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五、交车与验收</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甲乙双方交接车辆时，应在验收合格时，签署车辆交接单。自签署车辆交接单时起，即为正式交付。</w:t>
      </w:r>
    </w:p>
    <w:p>
      <w:pPr>
        <w:ind w:left="480"/>
        <w:jc w:val="left"/>
        <w:rPr>
          <w:rFonts w:ascii="宋体" w:hAnsi="宋体" w:eastAsia="宋体" w:cs="宋体"/>
          <w:b w:val="0"/>
          <w:bCs w:val="0"/>
          <w:sz w:val="24"/>
          <w:szCs w:val="24"/>
        </w:rPr>
      </w:pPr>
      <w:r>
        <w:rPr>
          <w:rFonts w:hint="eastAsia" w:ascii="宋体" w:hAnsi="宋体" w:eastAsia="宋体" w:cs="宋体"/>
          <w:b w:val="0"/>
          <w:bCs w:val="0"/>
          <w:sz w:val="24"/>
          <w:szCs w:val="24"/>
        </w:rPr>
        <w:t>5.1</w:t>
      </w:r>
      <w:r>
        <w:rPr>
          <w:rFonts w:ascii="宋体" w:hAnsi="宋体" w:eastAsia="宋体" w:cs="宋体"/>
          <w:b w:val="0"/>
          <w:bCs w:val="0"/>
          <w:sz w:val="24"/>
          <w:szCs w:val="24"/>
        </w:rPr>
        <w:t xml:space="preserve"> </w:t>
      </w:r>
      <w:r>
        <w:rPr>
          <w:rFonts w:hint="eastAsia" w:ascii="宋体" w:hAnsi="宋体" w:eastAsia="宋体" w:cs="宋体"/>
          <w:b w:val="0"/>
          <w:bCs w:val="0"/>
          <w:sz w:val="24"/>
          <w:szCs w:val="24"/>
        </w:rPr>
        <w:t>交车时间：双方在</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日前交接车辆；</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5.2 交车方式，选择以下第（</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）种形式：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（1）乙方自提；（2）甲方送货上门；（3）其他方式：</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5.3 交车地点:</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 甲方交付车辆时，应向乙方提交以下票据和资料：</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5.4.1 销售发票；</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5.4.2 车辆合格证（国产），或海关签发的货物进口证明以及进口机动车辆检验单（进口）；</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5.4.3售后质量服务卡或保修手册；</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5.4.4车辆使用说明书或用户使用手册；</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5.4.5随车工具及备件清单；</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5.4.6其他需要交付的物品：</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5.5 交接车辆时，应当场验收。乙方如对车辆外观或基本使用功能有异议的，应当场向甲方提出。</w:t>
      </w:r>
    </w:p>
    <w:p>
      <w:pPr>
        <w:spacing w:before="312" w:beforeLines="100" w:after="156" w:afterLines="50"/>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六、售后服务</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6.1 车辆的售后服务和包修范围，按照生产厂家的产品说明书和包修手册进行，包修期不低于国家有关部门规定的期限。</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6.2 在包修期内，车辆需要保养和维修的，乙方应到生产厂家认定或双方协商的维修部门进行保养或维修。</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6.3 在车辆包修期内，由于乙方或第三人的原因造成车辆损坏，或因使用、保养、装潢、改装等不当行为造成车辆损坏；或未到生产厂商认定或双方协商的保养和维修部门进行保养维修造成车辆损坏的，甲方不承担任何责任。</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6.4 生产厂商的车辆说明书和保养手册的内容与国家有关规定不一致的，按国家有关规定执行。</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6.5 本合同签订后，国家出台有关汽车产品维修更换退货等规定的，从其规定；车辆出现缺陷的，双方按照国家有关缺陷汽车产品召回管理规定执行。</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6.6 乙方接收车辆后，应在规定的时间内完成车辆的保险、附加费、上牌等手续，缴纳相关税费。</w:t>
      </w:r>
    </w:p>
    <w:p>
      <w:pPr>
        <w:spacing w:before="312" w:beforeLines="100" w:after="156" w:afterLines="50" w:line="360" w:lineRule="auto"/>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七、违约责任</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7.1 甲方未按时交付车辆，应从逾期交付车辆之日起至实际交付之日止，按购车款总额的每日万分之</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向乙方支付违约金。逾期交车超过（</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）个月的，乙方可以解除合同；乙方已交付定金的，甲方向乙方双倍返还定金。</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7.2</w:t>
      </w:r>
      <w:r>
        <w:rPr>
          <w:rFonts w:ascii="宋体" w:hAnsi="宋体" w:eastAsia="宋体" w:cs="宋体"/>
          <w:b w:val="0"/>
          <w:bCs w:val="0"/>
          <w:sz w:val="24"/>
          <w:szCs w:val="24"/>
        </w:rPr>
        <w:t xml:space="preserve"> </w:t>
      </w:r>
      <w:r>
        <w:rPr>
          <w:rFonts w:hint="eastAsia" w:ascii="宋体" w:hAnsi="宋体" w:eastAsia="宋体" w:cs="宋体"/>
          <w:b w:val="0"/>
          <w:bCs w:val="0"/>
          <w:sz w:val="24"/>
          <w:szCs w:val="24"/>
        </w:rPr>
        <w:t>乙方未按时交付购车款，应从逾期交付购车款之日起至实际交付之日止，按购车款总额的每日万分之</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向甲方支付违约金。逾期超过（</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）个月的，甲方可以解除合同，并可将乙方所订车辆另行出售。乙方已交付定金的，无权要求返还定金。</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7.3 甲方交付的车辆规格、型号与合同约定不符的，或车辆配置与销售广告宣传不符的，乙方有权要求甲方予以更换。若甲方不更换或在乙方要求的合理期限内未更换的，乙方可解除合同，甲方应承担违约责任。</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7.4</w:t>
      </w:r>
      <w:r>
        <w:rPr>
          <w:rFonts w:ascii="宋体" w:hAnsi="宋体" w:eastAsia="宋体" w:cs="宋体"/>
          <w:b w:val="0"/>
          <w:bCs w:val="0"/>
          <w:sz w:val="24"/>
          <w:szCs w:val="24"/>
        </w:rPr>
        <w:t xml:space="preserve"> </w:t>
      </w:r>
      <w:r>
        <w:rPr>
          <w:rFonts w:hint="eastAsia" w:ascii="宋体" w:hAnsi="宋体" w:eastAsia="宋体" w:cs="宋体"/>
          <w:b w:val="0"/>
          <w:bCs w:val="0"/>
          <w:sz w:val="24"/>
          <w:szCs w:val="24"/>
        </w:rPr>
        <w:t>甲方所交付的车辆质量不符合明示的质量标准的，乙方有权要求甲方无偿修复、补偿损失、降低价款或者退车。</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7.5 因车辆存在设计和制造缺陷，致使在使用过程中造成乙方人身或财产损失的，经具有法定检验资格的检验机构鉴定确定后，乙方有权要求甲方或生产厂商赔偿损失。</w:t>
      </w:r>
    </w:p>
    <w:p>
      <w:pPr>
        <w:ind w:firstLine="482" w:firstLineChars="201"/>
        <w:jc w:val="left"/>
        <w:rPr>
          <w:rFonts w:ascii="宋体" w:hAnsi="宋体" w:eastAsia="宋体" w:cs="宋体"/>
          <w:b w:val="0"/>
          <w:bCs w:val="0"/>
          <w:sz w:val="24"/>
          <w:szCs w:val="24"/>
        </w:rPr>
      </w:pPr>
      <w:r>
        <w:rPr>
          <w:rFonts w:hint="eastAsia" w:ascii="宋体" w:hAnsi="宋体" w:eastAsia="宋体" w:cs="宋体"/>
          <w:b w:val="0"/>
          <w:bCs w:val="0"/>
          <w:sz w:val="24"/>
          <w:szCs w:val="24"/>
        </w:rPr>
        <w:t>7.6 任何一方在履行合同时，如遇不可抗力不能按时履行合同约定的，不承担违约责任。但遇不可抗力的一方，应在遇不可抗力的三日内以信函、电子邮件等书面方式通知另一方；在事件发生后十日内，向另一方提交不能履行或延迟履行合同的理由。</w:t>
      </w:r>
    </w:p>
    <w:p>
      <w:pPr>
        <w:spacing w:before="312" w:beforeLines="10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八、其他约定</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未尽事项，双方可订立补充条款或补充协议约定，与本合同具有同等效力：</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8.1 补充条款:</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 xml:space="preserve">。 </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8.2 补充协议：(见附件)</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8.3 本合同一式两份，双方各执一份。</w:t>
      </w:r>
    </w:p>
    <w:p>
      <w:pPr>
        <w:spacing w:before="312" w:beforeLines="100" w:after="156" w:afterLines="5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九、解决争议的方式</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因本合同约定的事项发生争议的，双方可采取协商或由第三方调解解决；协商或调解不成，可选择以下途径之一解决：</w:t>
      </w:r>
    </w:p>
    <w:p>
      <w:pPr>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1 申请</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仲裁委员会仲裁;</w:t>
      </w:r>
    </w:p>
    <w:p>
      <w:pPr>
        <w:spacing w:after="312" w:afterLines="100"/>
        <w:ind w:firstLine="480" w:firstLineChars="200"/>
        <w:jc w:val="left"/>
        <w:rPr>
          <w:rFonts w:ascii="宋体" w:hAnsi="宋体" w:eastAsia="宋体" w:cs="宋体"/>
          <w:b w:val="0"/>
          <w:bCs w:val="0"/>
          <w:sz w:val="24"/>
          <w:szCs w:val="24"/>
        </w:rPr>
      </w:pPr>
      <w:r>
        <w:rPr>
          <w:rFonts w:hint="eastAsia" w:ascii="宋体" w:hAnsi="宋体" w:eastAsia="宋体" w:cs="宋体"/>
          <w:b w:val="0"/>
          <w:bCs w:val="0"/>
          <w:sz w:val="24"/>
          <w:szCs w:val="24"/>
        </w:rPr>
        <w:t>2 向</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人民法院提起诉讼。</w:t>
      </w:r>
    </w:p>
    <w:tbl>
      <w:tblPr>
        <w:tblStyle w:val="2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left"/>
              <w:rPr>
                <w:b w:val="0"/>
                <w:bCs w:val="0"/>
                <w:sz w:val="24"/>
                <w:szCs w:val="24"/>
                <w:u w:val="single"/>
              </w:rPr>
            </w:pPr>
            <w:r>
              <w:rPr>
                <w:rFonts w:hint="eastAsia" w:ascii="宋体" w:hAnsi="宋体" w:eastAsia="宋体" w:cs="宋体"/>
                <w:b w:val="0"/>
                <w:bCs w:val="0"/>
                <w:sz w:val="24"/>
                <w:szCs w:val="24"/>
              </w:rPr>
              <w:t>甲方（签字或盖章）：</w:t>
            </w:r>
            <w:r>
              <w:rPr>
                <w:rFonts w:hint="eastAsia" w:ascii="宋体" w:hAnsi="宋体" w:eastAsia="宋体" w:cs="宋体"/>
                <w:b w:val="0"/>
                <w:bCs w:val="0"/>
                <w:sz w:val="24"/>
                <w:szCs w:val="24"/>
                <w:u w:val="single"/>
              </w:rPr>
              <w:t xml:space="preserve">          </w:t>
            </w:r>
          </w:p>
        </w:tc>
        <w:tc>
          <w:tcPr>
            <w:tcW w:w="4261" w:type="dxa"/>
          </w:tcPr>
          <w:p>
            <w:pPr>
              <w:jc w:val="left"/>
              <w:rPr>
                <w:b w:val="0"/>
                <w:bCs w:val="0"/>
                <w:sz w:val="24"/>
                <w:szCs w:val="24"/>
                <w:u w:val="single"/>
              </w:rPr>
            </w:pPr>
            <w:r>
              <w:rPr>
                <w:rFonts w:hint="eastAsia" w:ascii="宋体" w:hAnsi="宋体" w:eastAsia="宋体" w:cs="宋体"/>
                <w:b w:val="0"/>
                <w:bCs w:val="0"/>
                <w:sz w:val="24"/>
                <w:szCs w:val="24"/>
              </w:rPr>
              <w:t>甲方（签字或盖章）：</w:t>
            </w:r>
            <w:r>
              <w:rPr>
                <w:rFonts w:hint="eastAsia" w:ascii="宋体" w:hAnsi="宋体" w:eastAsia="宋体" w:cs="宋体"/>
                <w:b w:val="0"/>
                <w:bCs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left"/>
              <w:rPr>
                <w:b w:val="0"/>
                <w:bCs w:val="0"/>
                <w:sz w:val="24"/>
                <w:szCs w:val="24"/>
              </w:rPr>
            </w:pP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日</w:t>
            </w:r>
          </w:p>
        </w:tc>
        <w:tc>
          <w:tcPr>
            <w:tcW w:w="4261" w:type="dxa"/>
          </w:tcPr>
          <w:p>
            <w:pPr>
              <w:jc w:val="left"/>
              <w:rPr>
                <w:b w:val="0"/>
                <w:bCs w:val="0"/>
                <w:sz w:val="24"/>
                <w:szCs w:val="24"/>
              </w:rPr>
            </w:pP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年</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rPr>
              <w:t>月</w:t>
            </w:r>
            <w:r>
              <w:rPr>
                <w:rFonts w:hint="eastAsia" w:ascii="宋体" w:hAnsi="宋体" w:eastAsia="宋体" w:cs="宋体"/>
                <w:b w:val="0"/>
                <w:bCs w:val="0"/>
                <w:sz w:val="24"/>
                <w:szCs w:val="24"/>
                <w:u w:val="single"/>
              </w:rPr>
              <w:t xml:space="preserve">    </w:t>
            </w:r>
            <w:r>
              <w:rPr>
                <w:rFonts w:ascii="宋体" w:hAnsi="宋体" w:eastAsia="宋体" w:cs="宋体"/>
                <w:b w:val="0"/>
                <w:bCs w:val="0"/>
                <w:sz w:val="24"/>
                <w:szCs w:val="24"/>
                <w:u w:val="single"/>
              </w:rPr>
              <w:t xml:space="preserve"> </w:t>
            </w:r>
            <w:r>
              <w:rPr>
                <w:rFonts w:hint="eastAsia" w:ascii="宋体" w:hAnsi="宋体" w:eastAsia="宋体" w:cs="宋体"/>
                <w:b w:val="0"/>
                <w:bCs w:val="0"/>
                <w:sz w:val="24"/>
                <w:szCs w:val="24"/>
                <w:u w:val="single"/>
              </w:rPr>
              <w:t xml:space="preserve"> </w:t>
            </w:r>
            <w:r>
              <w:rPr>
                <w:rFonts w:hint="eastAsia" w:ascii="宋体" w:hAnsi="宋体" w:eastAsia="宋体" w:cs="宋体"/>
                <w:b w:val="0"/>
                <w:bCs w:val="0"/>
                <w:sz w:val="24"/>
                <w:szCs w:val="24"/>
              </w:rPr>
              <w:t>日</w:t>
            </w:r>
          </w:p>
        </w:tc>
      </w:tr>
    </w:tbl>
    <w:p>
      <w:pPr>
        <w:jc w:val="left"/>
        <w:rPr>
          <w:rFonts w:ascii="宋体" w:hAnsi="宋体" w:eastAsia="宋体" w:cs="宋体"/>
          <w:b w:val="0"/>
          <w:bCs w:val="0"/>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3F9D"/>
    <w:rsid w:val="00F75DC8"/>
    <w:rsid w:val="00F77485"/>
    <w:rsid w:val="00F77D7D"/>
    <w:rsid w:val="00F830A1"/>
    <w:rsid w:val="00F84564"/>
    <w:rsid w:val="00F869C3"/>
    <w:rsid w:val="00F91808"/>
    <w:rsid w:val="00FA027A"/>
    <w:rsid w:val="00FA2C5F"/>
    <w:rsid w:val="00FA4B3F"/>
    <w:rsid w:val="00FB6376"/>
    <w:rsid w:val="00FE70A8"/>
    <w:rsid w:val="00FF6CB0"/>
    <w:rsid w:val="E7D6A095"/>
    <w:rsid w:val="F7859B6E"/>
    <w:rsid w:val="FE9E80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0"/>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0"/>
    <w:rPr>
      <w:sz w:val="18"/>
      <w:szCs w:val="18"/>
    </w:rPr>
  </w:style>
  <w:style w:type="character" w:customStyle="1" w:styleId="36">
    <w:name w:val="标题 1 字符"/>
    <w:basedOn w:val="26"/>
    <w:link w:val="2"/>
    <w:uiPriority w:val="0"/>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0"/>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489</Words>
  <Characters>2788</Characters>
  <Lines>23</Lines>
  <Paragraphs>6</Paragraphs>
  <TotalTime>0</TotalTime>
  <ScaleCrop>false</ScaleCrop>
  <LinksUpToDate>false</LinksUpToDate>
  <CharactersWithSpaces>3271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2019-03-23T17:28:00Z</dcterms:created>
  <dc:creator>雯 张</dc:creator>
  <cp:lastModifiedBy>雯 张</cp:lastModifiedBy>
  <dcterms:modified xsi:type="dcterms:W3CDTF">2020-05-27T13:52:30Z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