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22C" w:rsidRDefault="00D4022C" w:rsidP="00D4022C">
      <w:pPr>
        <w:pStyle w:val="3"/>
      </w:pPr>
      <w:bookmarkStart w:id="0" w:name="_GoBack"/>
      <w:r>
        <w:rPr>
          <w:rFonts w:hint="eastAsia"/>
        </w:rPr>
        <w:t>吉林省水稻(谷物)买卖合同</w:t>
      </w:r>
    </w:p>
    <w:bookmarkEnd w:id="0"/>
    <w:p w:rsidR="00D4022C" w:rsidRDefault="00D4022C" w:rsidP="00210DBE">
      <w:pPr>
        <w:wordWrap w:val="0"/>
        <w:adjustRightInd w:val="0"/>
        <w:snapToGrid w:val="0"/>
        <w:spacing w:afterLines="100" w:after="312" w:line="360" w:lineRule="auto"/>
        <w:jc w:val="righ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编号：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</w:t>
      </w:r>
    </w:p>
    <w:p w:rsidR="00D4022C" w:rsidRPr="00210DBE" w:rsidRDefault="00D4022C" w:rsidP="00210DBE">
      <w:pPr>
        <w:tabs>
          <w:tab w:val="left" w:pos="828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36" type="#_x0000_t202" style="position:absolute;left:0;text-align:left;margin-left:289.5pt;margin-top:8.5pt;width:48.3pt;height:23.6pt;z-index:251659264" filled="f" stroked="f">
            <v:textbox style="mso-next-textbox:#文本框 3">
              <w:txbxContent>
                <w:p w:rsidR="00D4022C" w:rsidRDefault="00D4022C">
                  <w:pPr>
                    <w:pStyle w:val="24"/>
                    <w:adjustRightInd w:val="0"/>
                    <w:snapToGrid w:val="0"/>
                    <w:rPr>
                      <w:b/>
                      <w:bCs/>
                      <w:color w:val="000000"/>
                      <w:w w:val="70"/>
                      <w:sz w:val="90"/>
                    </w:rPr>
                  </w:pPr>
                </w:p>
              </w:txbxContent>
            </v:textbox>
          </v:shape>
        </w:pict>
      </w:r>
      <w:r>
        <w:rPr>
          <w:rFonts w:ascii="宋体" w:eastAsia="宋体" w:hAnsi="宋体" w:cs="宋体" w:hint="eastAsia"/>
          <w:sz w:val="24"/>
        </w:rPr>
        <w:t>卖  方（甲方）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</w:t>
      </w:r>
    </w:p>
    <w:p w:rsidR="00D4022C" w:rsidRDefault="00D4022C" w:rsidP="00210DBE">
      <w:pPr>
        <w:adjustRightInd w:val="0"/>
        <w:snapToGrid w:val="0"/>
        <w:spacing w:after="472"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买  方（乙方）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</w:t>
      </w:r>
    </w:p>
    <w:p w:rsidR="00D4022C" w:rsidRDefault="00D4022C" w:rsidP="00210DBE">
      <w:pPr>
        <w:pStyle w:val="aa"/>
        <w:adjustRightInd w:val="0"/>
        <w:snapToGrid w:val="0"/>
        <w:spacing w:afterLines="50" w:after="156" w:line="360" w:lineRule="auto"/>
        <w:ind w:firstLine="567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根据《中华人民共和国合同法》、《粮食流通管理条例》及其他有关法律法规的规定，本着公平、公正和诚实信用的原则，经甲乙双方协商就稻谷买卖有关事项达成协议如下：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第一条  品种、数量、等级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品    种：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    量：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等    级：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生产年份：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缝口标准：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第二条  质量标准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质量标准：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第三条  包装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包装要求：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包装费用由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方承担。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第四条  价款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单  价：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</w:t>
      </w:r>
      <w:r>
        <w:rPr>
          <w:rFonts w:ascii="宋体" w:eastAsia="宋体" w:hAnsi="宋体" w:cs="宋体" w:hint="eastAsia"/>
          <w:sz w:val="24"/>
        </w:rPr>
        <w:t>元/公斤。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总价款：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</w:t>
      </w:r>
      <w:r>
        <w:rPr>
          <w:rFonts w:ascii="宋体" w:eastAsia="宋体" w:hAnsi="宋体" w:cs="宋体" w:hint="eastAsia"/>
          <w:sz w:val="24"/>
        </w:rPr>
        <w:t>元。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第五条  交付方式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1．时间与数量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（1）甲方于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日向乙方交付</w:t>
      </w:r>
      <w:r>
        <w:rPr>
          <w:rFonts w:ascii="宋体" w:eastAsia="宋体" w:hAnsi="宋体" w:cs="宋体" w:hint="eastAsia"/>
          <w:sz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</w:rPr>
        <w:t>公斤。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2．方式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按照下列第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项方式执行：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（1）乙方自行提货。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（2）甲方按照约定的地点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</w:t>
      </w:r>
      <w:r>
        <w:rPr>
          <w:rFonts w:ascii="宋体" w:eastAsia="宋体" w:hAnsi="宋体" w:cs="宋体" w:hint="eastAsia"/>
          <w:sz w:val="24"/>
        </w:rPr>
        <w:t>交货。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（3）其他：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3．运输费用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运输费用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元/吨，由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方承担。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第六条  验收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双方按合同约定的数量和质量标准进行验收，并开具验收单。对验收结果有异议的以权威机构检测的结果为准，检测费用由责任方承担。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第七条  价款支付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项方式支付价款。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1．即时结清。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2．乙方在稻谷交付后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内结清。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3．其他方式：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第八条  违约责任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1.甲方少交或乙方少收合同约定稻谷数量的，应向对方支付少交或少收稻谷价款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%的违约金。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2．甲方迟延交货或乙方迟延提货的，每迟延一日，按合同价款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%的标准向对方支付违约金。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3．乙方逾期支付价款的，应当按照逾期支付价款每日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%的标准向甲方支付违约金。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4．甲方交付的稻谷质量不符合约定的，乙方有权要求调换，由此造成损失的，甲方应予以赔偿。   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5．其他违约责任：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第九条  其他约定事项</w:t>
      </w:r>
    </w:p>
    <w:p w:rsidR="00D4022C" w:rsidRDefault="00D4022C">
      <w:pPr>
        <w:wordWrap w:val="0"/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第十条  争议的解决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本合同在履行过程中发生争议，由双方当事人协商或者申请工商部门调解</w:t>
      </w:r>
      <w:r>
        <w:rPr>
          <w:rFonts w:ascii="宋体" w:eastAsia="宋体" w:hAnsi="宋体" w:cs="宋体" w:hint="eastAsia"/>
          <w:sz w:val="24"/>
        </w:rPr>
        <w:lastRenderedPageBreak/>
        <w:t>解决；或选择下列第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种方式解决。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1．提交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</w:t>
      </w:r>
      <w:r>
        <w:rPr>
          <w:rFonts w:ascii="宋体" w:eastAsia="宋体" w:hAnsi="宋体" w:cs="宋体" w:hint="eastAsia"/>
          <w:sz w:val="24"/>
        </w:rPr>
        <w:t>仲裁委员会仲裁。</w:t>
      </w:r>
    </w:p>
    <w:p w:rsidR="00D4022C" w:rsidRDefault="00D4022C">
      <w:pPr>
        <w:adjustRightInd w:val="0"/>
        <w:snapToGrid w:val="0"/>
        <w:spacing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2．依法向</w:t>
      </w:r>
      <w:r>
        <w:rPr>
          <w:rFonts w:ascii="宋体" w:eastAsia="宋体" w:hAnsi="宋体" w:cs="宋体" w:hint="eastAsia"/>
          <w:sz w:val="24"/>
          <w:u w:val="single"/>
        </w:rPr>
        <w:t xml:space="preserve">           </w:t>
      </w:r>
      <w:r>
        <w:rPr>
          <w:rFonts w:ascii="宋体" w:eastAsia="宋体" w:hAnsi="宋体" w:cs="宋体" w:hint="eastAsia"/>
          <w:sz w:val="24"/>
        </w:rPr>
        <w:t>人民法院起诉。</w:t>
      </w:r>
    </w:p>
    <w:p w:rsidR="00D4022C" w:rsidRDefault="00D4022C">
      <w:pPr>
        <w:adjustRightInd w:val="0"/>
        <w:snapToGrid w:val="0"/>
        <w:spacing w:line="360" w:lineRule="auto"/>
        <w:ind w:firstLine="567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第十一条  附则</w:t>
      </w:r>
    </w:p>
    <w:p w:rsidR="00D4022C" w:rsidRDefault="00D4022C" w:rsidP="00210DBE">
      <w:pPr>
        <w:adjustRightInd w:val="0"/>
        <w:snapToGrid w:val="0"/>
        <w:spacing w:afterLines="100" w:after="312" w:line="360" w:lineRule="auto"/>
        <w:ind w:firstLine="567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pacing w:val="-4"/>
          <w:sz w:val="24"/>
        </w:rPr>
        <w:t>本合同自双方签字或盖章之日起生效，本合同一式</w:t>
      </w:r>
      <w:r>
        <w:rPr>
          <w:rFonts w:ascii="宋体" w:eastAsia="宋体" w:hAnsi="宋体" w:cs="宋体" w:hint="eastAsia"/>
          <w:spacing w:val="-4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pacing w:val="-4"/>
          <w:sz w:val="24"/>
        </w:rPr>
        <w:t>份，甲方</w:t>
      </w:r>
      <w:r>
        <w:rPr>
          <w:rFonts w:ascii="宋体" w:eastAsia="宋体" w:hAnsi="宋体" w:cs="宋体" w:hint="eastAsia"/>
          <w:spacing w:val="-4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pacing w:val="-4"/>
          <w:sz w:val="24"/>
        </w:rPr>
        <w:t>份，</w:t>
      </w:r>
      <w:r>
        <w:rPr>
          <w:rFonts w:ascii="宋体" w:eastAsia="宋体" w:hAnsi="宋体" w:cs="宋体" w:hint="eastAsia"/>
          <w:sz w:val="24"/>
        </w:rPr>
        <w:t>乙方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份(交工商部门备案一份)，均具同等法律效力。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D4022C" w:rsidTr="002157E7"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z w:val="24"/>
              </w:rPr>
              <w:t xml:space="preserve">甲      方(盖章签字)            </w:t>
            </w:r>
          </w:p>
        </w:tc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z w:val="24"/>
              </w:rPr>
              <w:t xml:space="preserve"> 乙      方(盖章签字)</w:t>
            </w:r>
          </w:p>
        </w:tc>
      </w:tr>
      <w:tr w:rsidR="00D4022C" w:rsidTr="002157E7"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z w:val="24"/>
              </w:rPr>
              <w:t>住      所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 w:rsidRPr="00424276">
              <w:rPr>
                <w:rFonts w:ascii="宋体" w:eastAsia="宋体" w:hAnsi="宋体" w:cs="宋体" w:hint="eastAsia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z w:val="24"/>
              </w:rPr>
              <w:t>住      所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D4022C" w:rsidTr="002157E7"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z w:val="24"/>
              </w:rPr>
              <w:t>法定代理人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 w:rsidRPr="00424276">
              <w:rPr>
                <w:rFonts w:ascii="宋体" w:eastAsia="宋体" w:hAnsi="宋体" w:cs="宋体" w:hint="eastAsia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z w:val="24"/>
              </w:rPr>
              <w:t>法定代理人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D4022C" w:rsidTr="002157E7"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 w:rsidRPr="00424276">
              <w:rPr>
                <w:rFonts w:ascii="宋体" w:eastAsia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D4022C" w:rsidTr="002157E7">
        <w:trPr>
          <w:trHeight w:val="481"/>
        </w:trPr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pacing w:val="40"/>
                <w:sz w:val="24"/>
              </w:rPr>
              <w:t>身份证号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 w:rsidRPr="00424276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Pr="00424276">
              <w:rPr>
                <w:rFonts w:ascii="宋体" w:eastAsia="宋体" w:hAnsi="宋体" w:cs="宋体" w:hint="eastAsia"/>
                <w:spacing w:val="4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pacing w:val="40"/>
                <w:sz w:val="24"/>
              </w:rPr>
              <w:t>身份证号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D4022C" w:rsidTr="002157E7"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pacing w:val="40"/>
                <w:sz w:val="24"/>
              </w:rPr>
              <w:t>联系地</w:t>
            </w:r>
            <w:r w:rsidRPr="00424276">
              <w:rPr>
                <w:rFonts w:ascii="宋体" w:eastAsia="宋体" w:hAnsi="宋体" w:cs="宋体" w:hint="eastAsia"/>
                <w:sz w:val="24"/>
              </w:rPr>
              <w:t>址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 w:rsidRPr="00424276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Pr="00424276">
              <w:rPr>
                <w:rFonts w:ascii="宋体" w:eastAsia="宋体" w:hAnsi="宋体" w:cs="宋体" w:hint="eastAsia"/>
                <w:spacing w:val="4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pacing w:val="40"/>
                <w:sz w:val="24"/>
              </w:rPr>
              <w:t>联系地</w:t>
            </w:r>
            <w:r w:rsidRPr="00424276">
              <w:rPr>
                <w:rFonts w:ascii="宋体" w:eastAsia="宋体" w:hAnsi="宋体" w:cs="宋体" w:hint="eastAsia"/>
                <w:sz w:val="24"/>
              </w:rPr>
              <w:t>址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D4022C" w:rsidTr="002157E7"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pacing w:val="40"/>
                <w:sz w:val="24"/>
              </w:rPr>
              <w:t>邮政编</w:t>
            </w:r>
            <w:r w:rsidRPr="00424276">
              <w:rPr>
                <w:rFonts w:ascii="宋体" w:eastAsia="宋体" w:hAnsi="宋体" w:cs="宋体" w:hint="eastAsia"/>
                <w:sz w:val="24"/>
              </w:rPr>
              <w:t>码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 w:rsidRPr="00424276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Pr="00424276">
              <w:rPr>
                <w:rFonts w:ascii="宋体" w:eastAsia="宋体" w:hAnsi="宋体" w:cs="宋体" w:hint="eastAsia"/>
                <w:spacing w:val="4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pacing w:val="40"/>
                <w:sz w:val="24"/>
              </w:rPr>
              <w:t>邮政编</w:t>
            </w:r>
            <w:r w:rsidRPr="00424276">
              <w:rPr>
                <w:rFonts w:ascii="宋体" w:eastAsia="宋体" w:hAnsi="宋体" w:cs="宋体" w:hint="eastAsia"/>
                <w:sz w:val="24"/>
              </w:rPr>
              <w:t>码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D4022C" w:rsidTr="002157E7"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pacing w:val="40"/>
                <w:sz w:val="24"/>
              </w:rPr>
              <w:t>联系电</w:t>
            </w:r>
            <w:r w:rsidRPr="00424276">
              <w:rPr>
                <w:rFonts w:ascii="宋体" w:eastAsia="宋体" w:hAnsi="宋体" w:cs="宋体" w:hint="eastAsia"/>
                <w:sz w:val="24"/>
              </w:rPr>
              <w:t>话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  <w:r w:rsidRPr="00424276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Pr="00424276">
              <w:rPr>
                <w:rFonts w:ascii="宋体" w:eastAsia="宋体" w:hAnsi="宋体" w:cs="宋体" w:hint="eastAsia"/>
                <w:spacing w:val="4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D4022C" w:rsidRDefault="00D4022C" w:rsidP="00424276">
            <w:pPr>
              <w:adjustRightInd w:val="0"/>
              <w:snapToGrid w:val="0"/>
              <w:spacing w:line="360" w:lineRule="auto"/>
            </w:pPr>
            <w:r w:rsidRPr="00424276">
              <w:rPr>
                <w:rFonts w:ascii="宋体" w:eastAsia="宋体" w:hAnsi="宋体" w:cs="宋体" w:hint="eastAsia"/>
                <w:spacing w:val="40"/>
                <w:sz w:val="24"/>
              </w:rPr>
              <w:t>联系电</w:t>
            </w:r>
            <w:r w:rsidRPr="00424276">
              <w:rPr>
                <w:rFonts w:ascii="宋体" w:eastAsia="宋体" w:hAnsi="宋体" w:cs="宋体" w:hint="eastAsia"/>
                <w:sz w:val="24"/>
              </w:rPr>
              <w:t>话</w:t>
            </w:r>
            <w:r w:rsidRPr="00424276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</w:tbl>
    <w:p w:rsidR="00D4022C" w:rsidRDefault="00D4022C" w:rsidP="00210DBE">
      <w:pPr>
        <w:adjustRightInd w:val="0"/>
        <w:snapToGrid w:val="0"/>
        <w:spacing w:line="360" w:lineRule="auto"/>
        <w:rPr>
          <w:rFonts w:ascii="宋体" w:eastAsia="宋体" w:hAnsi="宋体" w:cs="宋体"/>
          <w:spacing w:val="4"/>
          <w:sz w:val="24"/>
        </w:rPr>
      </w:pPr>
      <w:r>
        <w:rPr>
          <w:rFonts w:ascii="宋体" w:eastAsia="宋体" w:hAnsi="宋体" w:cs="宋体" w:hint="eastAsia"/>
          <w:spacing w:val="40"/>
          <w:sz w:val="24"/>
        </w:rPr>
        <w:t>签约地</w:t>
      </w:r>
      <w:r>
        <w:rPr>
          <w:rFonts w:ascii="宋体" w:eastAsia="宋体" w:hAnsi="宋体" w:cs="宋体" w:hint="eastAsia"/>
          <w:sz w:val="24"/>
        </w:rPr>
        <w:t xml:space="preserve">点:                    </w:t>
      </w:r>
      <w:r>
        <w:rPr>
          <w:rFonts w:ascii="宋体" w:eastAsia="宋体" w:hAnsi="宋体" w:cs="宋体" w:hint="eastAsia"/>
          <w:spacing w:val="4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pacing w:val="4"/>
          <w:sz w:val="24"/>
        </w:rPr>
        <w:t xml:space="preserve">    </w:t>
      </w:r>
    </w:p>
    <w:p w:rsidR="00D4022C" w:rsidRDefault="00D4022C" w:rsidP="00210DBE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pacing w:val="40"/>
          <w:sz w:val="24"/>
        </w:rPr>
        <w:t>签约日</w:t>
      </w:r>
      <w:r>
        <w:rPr>
          <w:rFonts w:ascii="宋体" w:eastAsia="宋体" w:hAnsi="宋体" w:cs="宋体" w:hint="eastAsia"/>
          <w:sz w:val="24"/>
        </w:rPr>
        <w:t xml:space="preserve">期:         年      月      日                   </w:t>
      </w:r>
    </w:p>
    <w:p w:rsidR="00D4022C" w:rsidRDefault="00D4022C">
      <w:pPr>
        <w:spacing w:line="360" w:lineRule="auto"/>
        <w:rPr>
          <w:rFonts w:ascii="宋体" w:eastAsia="宋体" w:hAnsi="宋体" w:cs="宋体"/>
          <w:sz w:val="24"/>
        </w:rPr>
      </w:pPr>
    </w:p>
    <w:sectPr w:rsidR="00D4022C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D4022C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D68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0C9B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2019-03-23T09:21:00Z</dcterms:created>
  <dcterms:modified xsi:type="dcterms:W3CDTF">2019-03-23T09:21:00Z</dcterms:modified>
</cp:coreProperties>
</file>