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室内采暖工程施工合同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根据《中华人民共和国经济合同法》和国家有关法律、法规，遵循平等、自愿、公平、诚实信用的原则，经双方协商一致，制定以下合同。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有限公司沿街综合楼、商业楼工程；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3.工程承包范围：沿街综合楼、商业楼室内采暖工程。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二、工程承包方式及内容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2.承包内容：图纸所示全部采暖工程内容。采暖主管道及分支管安装、聚苯板及铝箔纸安装、地暖盘管安装、分水器安装等，室内主管道做至墙外1.5米处。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3.材料名称及规格：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4.地暖工程实铺施工面积：地暖实铺面积</w:t>
      </w:r>
      <w:r>
        <w:rPr>
          <w:rFonts w:hint="eastAsia" w:ascii="宋体" w:hAnsi="宋体" w:eastAsia="宋体" w:cs="宋体"/>
          <w:sz w:val="24"/>
          <w:szCs w:val="24"/>
          <w:u w:val="single"/>
        </w:rPr>
        <w:t>    </w:t>
      </w:r>
      <w:r>
        <w:rPr>
          <w:rFonts w:hint="eastAsia" w:ascii="宋体" w:hAnsi="宋体" w:eastAsia="宋体" w:cs="宋体"/>
          <w:sz w:val="24"/>
          <w:szCs w:val="24"/>
        </w:rPr>
        <w:t>平方米，共计约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5.工程价款：地暖实铺面积平方米单价</w:t>
      </w:r>
      <w:r>
        <w:rPr>
          <w:rFonts w:hint="eastAsia" w:ascii="宋体" w:hAnsi="宋体" w:eastAsia="宋体" w:cs="宋体"/>
          <w:sz w:val="24"/>
          <w:szCs w:val="24"/>
          <w:u w:val="single"/>
        </w:rPr>
        <w:t>    </w:t>
      </w:r>
      <w:r>
        <w:rPr>
          <w:rFonts w:hint="eastAsia" w:ascii="宋体" w:hAnsi="宋体" w:eastAsia="宋体" w:cs="宋体"/>
          <w:sz w:val="24"/>
          <w:szCs w:val="24"/>
        </w:rPr>
        <w:t>元/平方米。工程总价款为人民币（大写）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元）。此价款为一次性包死，不再作任何调整。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6.工期：采暖主管道随工程及时安装。地暖盘管自施工之日起6日内完成。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1.采暖工程执行《建筑给排水及采暖工程施工质量及验收规范》GB 50242-2002，地暖盘管执行JGJ 142-2012《地板辐射供暖技术规范》，标准DB13-T569-2004标准。图集采用标准图集05N系列。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3.供暖标准及管道使用寿命：在供回水温度60℃-50℃情况下，供水压力6KG，无人为损伤或不可抗力的情况下，室内1.2米下垂直温度不低于18度，地暖管材使用寿命50年，保质期50年。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保修：工程保修期为两个采暖期，保修期内发生质量问题乙方应保证在72小时内给予维修，维修费用由乙方承担。如出现人为损伤（含用户），乙方负责维修，费用由造成损坏人承担。保修期满后三年内，乙方应负责维修并只收取成本费。乙方应对采暖系统提供终生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5.乙方应提供管材供应证明和产品质量承诺书，及保险公司承保书复印件。乙方使用的工程材料在进场前应提供材料合格证并进行报验。报验合格并出具南宫市建筑质量检测中心的质量检测报告后方可施工。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6.乙方提供的管材必须有国家检测报告及省备案书等相关资料。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（1）甲方应按合同条款向乙方拨付工程款，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（2）甲方协调施工中的内部关系。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（3）开工前提前5天通知乙方。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（4）材料进场后应由甲方验收合格后方可施工，在施工中甲方将不定期进行检查，如发现质量问题将责令其停工，造成损失的追究其责任。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（5）工程竣工后甲方将组织相关部门进行工程验收。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（1）乙方接到通知后，保证5日内组织进场施工。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（2）保证工程质量，不得以次充好，确保按合同规定样品供货。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（3）负责采购全部材料，并做好材料的保管工作。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（4）严格按照图纸施工，不得私自更改设计。接受甲方监督、管理。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（5）管道辐射完毕后按规定压力做打压实验，垫层施工为带压施工。并应有乙方人员现场看管。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（6）乙方负责协调好与土建施工方的关系，并承担相关的费用。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（7）垫层施工完毕后，应再次进行地暖系统交工打压实验，并经甲方及监理到场验收。施工验收资料应齐全，并且有监理签字方为有效。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地暖工程竣工验收合格后付总价款的95%。剩余5%作为质量保修金。保修期满如无质量问题一次付清。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项目所在地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本合同解释权归甲方，自签字之日起生效；合同一式两份，甲乙双方各一份。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