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仓库密封固化剂地坪施工合同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按照《中华人民共和国民法典》，为明确双方在施工过程中的权利、义务和经济责任，双方达成如下协议：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 仓库密封固化剂地坪施工项目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密封固化剂地面工程施工。地面材料采用无色（型号）密封锂基固化剂，暂定总工程面积约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4.承包方式：包工包料。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二、工程造价及付款方式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1.工程造价</w:t>
      </w:r>
    </w:p>
    <w:tbl>
      <w:tblPr>
        <w:tblW w:w="10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1"/>
        <w:gridCol w:w="271"/>
        <w:gridCol w:w="2310"/>
        <w:gridCol w:w="2070"/>
        <w:gridCol w:w="57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 号</w:t>
            </w:r>
          </w:p>
        </w:tc>
        <w:tc>
          <w:tcPr>
            <w:tcW w:w="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 牌</w:t>
            </w:r>
          </w:p>
        </w:tc>
        <w:tc>
          <w:tcPr>
            <w:tcW w:w="23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 色</w:t>
            </w:r>
          </w:p>
        </w:tc>
        <w:tc>
          <w:tcPr>
            <w:tcW w:w="20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总面积</w:t>
            </w:r>
          </w:p>
        </w:tc>
        <w:tc>
          <w:tcPr>
            <w:tcW w:w="5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锂基密封固化剂</w:t>
            </w:r>
          </w:p>
        </w:tc>
        <w:tc>
          <w:tcPr>
            <w:tcW w:w="23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无色</w:t>
            </w:r>
          </w:p>
        </w:tc>
        <w:tc>
          <w:tcPr>
            <w:tcW w:w="20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tc>
        <w:tc>
          <w:tcPr>
            <w:tcW w:w="5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工位线</w:t>
            </w:r>
          </w:p>
        </w:tc>
        <w:tc>
          <w:tcPr>
            <w:tcW w:w="23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cm宽</w:t>
            </w:r>
          </w:p>
        </w:tc>
        <w:tc>
          <w:tcPr>
            <w:tcW w:w="20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23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20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5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（1）以上单价为含税价格，包工包料单价，合同总价不含工位线施工价格，工位线价格据实结算。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（2）本合同总造价为总工程面积X单价，即人民币（大写）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（3）如实际施工面积与本合同不符，以双方书面确认的实际施工面积决算为准。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（1）工程施工全部完成，经甲方验收合格后，甲方以银行转账方式支付工程总造价款的</w:t>
      </w:r>
      <w:r>
        <w:rPr>
          <w:rFonts w:hint="eastAsia" w:ascii="宋体" w:hAnsi="宋体" w:eastAsia="宋体" w:cs="宋体"/>
          <w:sz w:val="24"/>
          <w:szCs w:val="24"/>
          <w:u w:val="single"/>
        </w:rPr>
        <w:t xml:space="preserve">        </w:t>
      </w:r>
      <w:r>
        <w:rPr>
          <w:rFonts w:hint="eastAsia" w:ascii="宋体" w:hAnsi="宋体" w:eastAsia="宋体" w:cs="宋体"/>
          <w:sz w:val="24"/>
          <w:szCs w:val="24"/>
        </w:rPr>
        <w:t>%给乙方，即人民币（大写）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（2）余下</w:t>
      </w:r>
      <w:r>
        <w:rPr>
          <w:rFonts w:hint="eastAsia" w:ascii="宋体" w:hAnsi="宋体" w:eastAsia="宋体" w:cs="宋体"/>
          <w:sz w:val="24"/>
          <w:szCs w:val="24"/>
          <w:u w:val="single"/>
        </w:rPr>
        <w:t>    </w:t>
      </w:r>
      <w:r>
        <w:rPr>
          <w:rFonts w:hint="eastAsia" w:ascii="宋体" w:hAnsi="宋体" w:eastAsia="宋体" w:cs="宋体"/>
          <w:sz w:val="24"/>
          <w:szCs w:val="24"/>
        </w:rPr>
        <w:t>%作为工程质保金（人民币</w:t>
      </w:r>
      <w:r>
        <w:rPr>
          <w:rFonts w:hint="eastAsia" w:ascii="宋体" w:hAnsi="宋体" w:eastAsia="宋体" w:cs="宋体"/>
          <w:sz w:val="24"/>
          <w:szCs w:val="24"/>
          <w:u w:val="single"/>
        </w:rPr>
        <w:t>    </w:t>
      </w:r>
      <w:r>
        <w:rPr>
          <w:rFonts w:hint="eastAsia" w:ascii="宋体" w:hAnsi="宋体" w:eastAsia="宋体" w:cs="宋体"/>
          <w:sz w:val="24"/>
          <w:szCs w:val="24"/>
        </w:rPr>
        <w:t>元），自本工程施工完成经验收合格之日起三年内质保期满后七个工作日内，甲方应付清此工程的全部工程款。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向乙方支付任何一笔款项前，乙方需事前依规定提交等额的增值税专用发票及付款申请，经甲方确认后，甲方在7个工作日内完成支付，否则甲方有权顺延支付而无须承担逾期付款的违约赔偿责任，乙方不得以此为由拒绝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三、关于工期及质量的约定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2.因甲方未按约定完成工作，影响工期，工期顺延。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3.因天气原因（如下雨、下雪或气温过低）其它外界因素影响，工期顺延。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4.由乙方责任，不能按期开工或中途无故停工，影响工期，工期不顺延。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5.本工程质保期为三年，终身负责维修。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指派</w:t>
      </w:r>
      <w:r>
        <w:rPr>
          <w:rFonts w:hint="eastAsia" w:ascii="宋体" w:hAnsi="宋体" w:eastAsia="宋体" w:cs="宋体"/>
          <w:sz w:val="24"/>
          <w:szCs w:val="24"/>
          <w:u w:val="single"/>
        </w:rPr>
        <w:t>        </w:t>
      </w:r>
      <w:r>
        <w:rPr>
          <w:rFonts w:hint="eastAsia" w:ascii="宋体" w:hAnsi="宋体" w:eastAsia="宋体" w:cs="宋体"/>
          <w:sz w:val="24"/>
          <w:szCs w:val="24"/>
        </w:rPr>
        <w:t>为甲方驻工地代表，负责合同履行、工程质量进行监督检查，并办理验收、变更、登记手续及其他事宜；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2.甲方指派</w:t>
      </w:r>
      <w:r>
        <w:rPr>
          <w:rFonts w:hint="eastAsia" w:ascii="宋体" w:hAnsi="宋体" w:eastAsia="宋体" w:cs="宋体"/>
          <w:sz w:val="24"/>
          <w:szCs w:val="24"/>
          <w:u w:val="single"/>
        </w:rPr>
        <w:t>        </w:t>
      </w:r>
      <w:r>
        <w:rPr>
          <w:rFonts w:hint="eastAsia" w:ascii="宋体" w:hAnsi="宋体" w:eastAsia="宋体" w:cs="宋体"/>
          <w:sz w:val="24"/>
          <w:szCs w:val="24"/>
        </w:rPr>
        <w:t>人员对乙方进场材料送货单验收；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3.提供给乙方足够水电照明设备，费用由乙方自行承担；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4.混凝土地面应平整无明显的凹凸现象；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5.下序施工时要注意地面的保护，施工完毕七日内禁止其它项目施工；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1.指派</w:t>
      </w:r>
      <w:r>
        <w:rPr>
          <w:rFonts w:hint="eastAsia" w:ascii="宋体" w:hAnsi="宋体" w:eastAsia="宋体" w:cs="宋体"/>
          <w:sz w:val="24"/>
          <w:szCs w:val="24"/>
          <w:u w:val="single"/>
        </w:rPr>
        <w:t>        </w:t>
      </w:r>
      <w:r>
        <w:rPr>
          <w:rFonts w:hint="eastAsia" w:ascii="宋体" w:hAnsi="宋体" w:eastAsia="宋体" w:cs="宋体"/>
          <w:sz w:val="24"/>
          <w:szCs w:val="24"/>
        </w:rPr>
        <w:t>为乙方驻工地代表，负责合同履行，按要求组织施工，保质、保量，按期完成施工任务，解决由乙方负责的各项事宜；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2.遵守甲方工地各项规章制度。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六、有关安全生产的约定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1.乙方在施工期间应严格遵守《建筑安装工程安全操作规程》和其它相关法规、规范。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2.由于甲方所提供的安全设施和确认的作法说明，建筑安全操作规程，导致发生安全事故，甲方应承担由此产生的一切经济损失。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3.由于乙方在施工过程中违反有关安全操作规程导致发生的安全事故，乙方应承担由此引发的一切经济损失。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七、验收事项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乙方工程完工后三日内报请甲方验收，甲方应在三个工作日内派人验收，逾期验收或提前使用皆视为该工程合格。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1.本合同自签定后自至全程施工完成，甲方不得再将工程转包给第三方施工，否则因此给乙方造成的一切损失由甲方负责，并赔偿违约金给乙方。（违约金为合同总价的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2.甲方如果无法按照合同规定的付款方式准时的付款，乙方有权停止施工，因此引起的一切后果由甲方承担，并赔偿违约金给乙方。违约金按甲方缓拨工程款的每日万分之</w:t>
      </w:r>
      <w:r>
        <w:rPr>
          <w:rFonts w:hint="eastAsia" w:ascii="宋体" w:hAnsi="宋体" w:eastAsia="宋体" w:cs="宋体"/>
          <w:sz w:val="24"/>
          <w:szCs w:val="24"/>
          <w:u w:val="single"/>
        </w:rPr>
        <w:t>    </w:t>
      </w:r>
      <w:r>
        <w:rPr>
          <w:rFonts w:hint="eastAsia" w:ascii="宋体" w:hAnsi="宋体" w:eastAsia="宋体" w:cs="宋体"/>
          <w:sz w:val="24"/>
          <w:szCs w:val="24"/>
        </w:rPr>
        <w:t>计算给乙方。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3.甲方应按合同订立内容为乙方做好施工前准备工作，若甲方达不到乙方的施工要求，乙方有权拒绝施工，若甲方强制乙方施工，因此引起的一切后果由甲方自行承担。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4.乙方工程质量不符合合同规定，由乙方负责无偿修理或返工，直至达到合同的规定为止。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5.乙方在正常的施工情况下未按合同规定的期限完成工程，除人力不可抗拒因素或天气等非主观因素外，乙方应承担违约责任。违约金按乙方缓交工程量总价的每日百分之</w:t>
      </w:r>
      <w:r>
        <w:rPr>
          <w:rFonts w:hint="eastAsia" w:ascii="宋体" w:hAnsi="宋体" w:eastAsia="宋体" w:cs="宋体"/>
          <w:sz w:val="24"/>
          <w:szCs w:val="24"/>
          <w:u w:val="single"/>
        </w:rPr>
        <w:t>    </w:t>
      </w:r>
      <w:r>
        <w:rPr>
          <w:rFonts w:hint="eastAsia" w:ascii="宋体" w:hAnsi="宋体" w:eastAsia="宋体" w:cs="宋体"/>
          <w:sz w:val="24"/>
          <w:szCs w:val="24"/>
        </w:rPr>
        <w:t>计算给甲方。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6.甲方或乙方不能按本协议条款约定内容履行自己的各项义务及发生使合同无法履行的行为，除人力不可抗拒原因外，应承担相应的违约责任，赔偿因违约给对方造成的经济损失，包括支付违约金。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7.若双方协议将合同终止或工程施工完毕后将工程款付清给乙方，本合同将自动终止。若一方违约使合同无法履行，违约方将承担上述违约责任后应继续履行合同。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本合同在执行过程中如发生纠纷，双方应协商解决。若协商不成，双方同意向甲方所在地人民法院提出诉讼。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附件一：混凝土密封固化剂地坪系统技术要求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一、产品特点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1.环保，符合国际VOC标准。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2.使用寿命长，与建筑同寿命，提供25年质量保证。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3.施工快捷，缩短工期。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4.无机产品，防火。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5.耐磨损，不起尘，且无需后期维护。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6.时间越长、摩擦次数越多，表面就越有光泽。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7.抗黑色轮胎印迹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二、功能及参考数据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耐磨度：使用后，30分钟后提高33%。（C20试块28天后，表面耐磨度从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2.61，提高到6.32，提高了142%）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2.摩擦系数：干地表提高21.1%，湿地表提高46.8%。（试块原有摩擦系数：干地表71.1，湿地表47.3，处理后分别为86.1，69.4）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3.抗风化：紫外线和喷水无不良影响。能有效阻止氯离子。有效延长混凝土寿命。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4.养护能力：混凝土熟化过程中，保水能力提高93.7%，有效防止龟裂，永久性养护。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5.抗压强度：7天后提高13%，28天后达到约40%，并随时间增加而提高。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6.表面硬度：可有效提高20%-200%，基层强度差改善更明显。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7.抗撞击能力：提高14%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8.耐腐蚀性：经处理一个月后测试证明，其耐酸碱程度大幅提高。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三、混凝土研磨抛光地面施工工序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1.研磨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去除地坪表面的脏污、松散层及多余附着物。采用湿式或干式的研磨方法。进一步提高表面平整度，并打开毛孔，以利于液体硬化剂渗透更充分。研磨至理想表面，清洗地面保持基面湿润无游离水（若使用干磨，则清除表面灰尘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2.表面硬化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用低压喷射器喷射一层湿润、饱和的密封固化剂。涂完第一层后，一定要让表面保持湿润20分钟。 如果在20分钟内，表面开始干燥，必须再涂一层并保持表面湿润。可使用硬毛刷或拖把涂刷，进一步使材料分散均匀。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3.研磨抛光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硬化剂彻底干燥并反应 24 小时后，表面致密度和硬度性能已经显著提高，可以进行多个粒度研磨材料 的精细研磨和抛光（依次使用 200、500、800、1000、2000 目磨片）。直至最佳效果。经过多道抛光步骤后， 表面可呈现非常高的光泽度，并形成兼具功能性、经济性、环保性和美观性的高质量混凝土地面。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78A1B88"/>
    <w:rsid w:val="183742BC"/>
    <w:rsid w:val="193733FF"/>
    <w:rsid w:val="1A6575C0"/>
    <w:rsid w:val="1CE300F7"/>
    <w:rsid w:val="1ED63A1D"/>
    <w:rsid w:val="20F0405B"/>
    <w:rsid w:val="27285CC7"/>
    <w:rsid w:val="283B0B3B"/>
    <w:rsid w:val="2D13514A"/>
    <w:rsid w:val="372975D8"/>
    <w:rsid w:val="393C6139"/>
    <w:rsid w:val="399B6873"/>
    <w:rsid w:val="39CE1D19"/>
    <w:rsid w:val="3C0633FD"/>
    <w:rsid w:val="3C0E0CCC"/>
    <w:rsid w:val="40564740"/>
    <w:rsid w:val="42C40756"/>
    <w:rsid w:val="43993871"/>
    <w:rsid w:val="454455A0"/>
    <w:rsid w:val="482C1F40"/>
    <w:rsid w:val="497B6BA2"/>
    <w:rsid w:val="4DFE3F2E"/>
    <w:rsid w:val="4F9923C0"/>
    <w:rsid w:val="53317DC4"/>
    <w:rsid w:val="5569353D"/>
    <w:rsid w:val="55B55277"/>
    <w:rsid w:val="598D28B2"/>
    <w:rsid w:val="5ABA5486"/>
    <w:rsid w:val="5D673200"/>
    <w:rsid w:val="62FC3CAE"/>
    <w:rsid w:val="647E4E77"/>
    <w:rsid w:val="64EF031B"/>
    <w:rsid w:val="661C6C53"/>
    <w:rsid w:val="67153A73"/>
    <w:rsid w:val="68B47D66"/>
    <w:rsid w:val="6F144006"/>
    <w:rsid w:val="79356A3F"/>
    <w:rsid w:val="79AA216E"/>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2019-06-12T10:11:18Z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