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303" w:rsidRDefault="004B5303" w:rsidP="0017105C">
      <w:pPr>
        <w:wordWrap w:val="0"/>
        <w:adjustRightInd w:val="0"/>
        <w:snapToGrid w:val="0"/>
        <w:spacing w:line="360" w:lineRule="auto"/>
        <w:jc w:val="right"/>
        <w:rPr>
          <w:rFonts w:ascii="宋体" w:eastAsia="宋体" w:hAnsi="宋体"/>
          <w:bCs/>
          <w:sz w:val="24"/>
        </w:rPr>
      </w:pPr>
      <w:r w:rsidRPr="0017105C">
        <w:rPr>
          <w:rFonts w:ascii="宋体" w:eastAsia="宋体" w:hAnsi="宋体" w:hint="eastAsia"/>
          <w:bCs/>
          <w:sz w:val="24"/>
        </w:rPr>
        <w:t>合同编号：</w:t>
      </w:r>
      <w:r w:rsidRPr="0017105C">
        <w:rPr>
          <w:rFonts w:ascii="宋体" w:eastAsia="宋体" w:hAnsi="宋体" w:hint="eastAsia"/>
          <w:bCs/>
          <w:sz w:val="24"/>
          <w:u w:val="single"/>
        </w:rPr>
        <w:t xml:space="preserve">           </w:t>
      </w:r>
    </w:p>
    <w:p w:rsidR="004B5303" w:rsidRPr="0017105C" w:rsidRDefault="004B5303" w:rsidP="00655EB6">
      <w:pPr>
        <w:wordWrap w:val="0"/>
        <w:adjustRightInd w:val="0"/>
        <w:snapToGrid w:val="0"/>
        <w:spacing w:beforeLines="100" w:before="312" w:afterLines="100" w:after="312" w:line="360" w:lineRule="auto"/>
        <w:jc w:val="center"/>
        <w:rPr>
          <w:rFonts w:ascii="宋体" w:eastAsia="宋体" w:hAnsi="宋体"/>
          <w:b/>
          <w:bCs/>
          <w:sz w:val="32"/>
        </w:rPr>
      </w:pPr>
      <w:bookmarkStart w:id="0" w:name="_GoBack"/>
      <w:r w:rsidRPr="0017105C">
        <w:rPr>
          <w:rFonts w:ascii="宋体" w:eastAsia="宋体" w:hAnsi="宋体" w:hint="eastAsia"/>
          <w:b/>
          <w:bCs/>
          <w:sz w:val="32"/>
        </w:rPr>
        <w:t>上海市建筑用砂石料买卖合同</w:t>
      </w:r>
    </w:p>
    <w:bookmarkEnd w:id="0"/>
    <w:p w:rsidR="004B5303" w:rsidRPr="0017105C" w:rsidRDefault="004B5303" w:rsidP="0017105C">
      <w:pPr>
        <w:snapToGrid w:val="0"/>
        <w:spacing w:line="360" w:lineRule="auto"/>
        <w:rPr>
          <w:rFonts w:ascii="宋体" w:eastAsia="宋体" w:hAnsi="宋体"/>
          <w:bCs/>
          <w:sz w:val="24"/>
        </w:rPr>
      </w:pPr>
      <w:r w:rsidRPr="0017105C">
        <w:rPr>
          <w:rFonts w:ascii="宋体" w:eastAsia="宋体" w:hAnsi="宋体" w:hint="eastAsia"/>
          <w:bCs/>
          <w:sz w:val="24"/>
        </w:rPr>
        <w:t>甲方（需方）：</w:t>
      </w:r>
      <w:r w:rsidRPr="0017105C">
        <w:rPr>
          <w:rFonts w:ascii="宋体" w:eastAsia="宋体" w:hAnsi="宋体" w:hint="eastAsia"/>
          <w:bCs/>
          <w:sz w:val="24"/>
          <w:u w:val="single"/>
        </w:rPr>
        <w:t xml:space="preserve">                                                   </w:t>
      </w:r>
    </w:p>
    <w:p w:rsidR="004B5303" w:rsidRDefault="004B5303" w:rsidP="0017105C">
      <w:pPr>
        <w:snapToGrid w:val="0"/>
        <w:spacing w:line="360" w:lineRule="auto"/>
        <w:rPr>
          <w:rFonts w:ascii="宋体" w:eastAsia="宋体" w:hAnsi="宋体"/>
          <w:b/>
          <w:sz w:val="24"/>
        </w:rPr>
      </w:pPr>
      <w:r w:rsidRPr="0017105C">
        <w:rPr>
          <w:rFonts w:ascii="宋体" w:eastAsia="宋体" w:hAnsi="宋体" w:hint="eastAsia"/>
          <w:bCs/>
          <w:sz w:val="24"/>
        </w:rPr>
        <w:t>乙方（供方）：</w:t>
      </w:r>
      <w:r w:rsidRPr="0017105C">
        <w:rPr>
          <w:rFonts w:ascii="宋体" w:eastAsia="宋体" w:hAnsi="宋体" w:hint="eastAsia"/>
          <w:bCs/>
          <w:sz w:val="24"/>
          <w:u w:val="single"/>
        </w:rPr>
        <w:t xml:space="preserve">                                                   </w:t>
      </w:r>
    </w:p>
    <w:p w:rsidR="004B5303" w:rsidRPr="0017105C" w:rsidRDefault="004B5303" w:rsidP="00655EB6">
      <w:pPr>
        <w:adjustRightInd w:val="0"/>
        <w:snapToGrid w:val="0"/>
        <w:spacing w:beforeLines="100" w:before="312" w:line="360" w:lineRule="auto"/>
        <w:ind w:firstLine="567"/>
        <w:rPr>
          <w:rFonts w:ascii="宋体" w:eastAsia="宋体" w:hAnsi="宋体"/>
          <w:sz w:val="24"/>
        </w:rPr>
      </w:pPr>
      <w:r w:rsidRPr="0017105C">
        <w:rPr>
          <w:rFonts w:ascii="宋体" w:eastAsia="宋体" w:hAnsi="宋体" w:hint="eastAsia"/>
          <w:sz w:val="24"/>
        </w:rPr>
        <w:t>根据《中华人民共和国民法典》以及其他有关法律法规的规定，遵循平等、自愿和诚实信用的原则，甲乙双方就建筑用砂石料买卖的相关事宜协商一致，签订本合同。</w:t>
      </w:r>
    </w:p>
    <w:p w:rsidR="004B5303" w:rsidRPr="00A134C9" w:rsidRDefault="004B5303" w:rsidP="0017105C">
      <w:pPr>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第一条  品名、数量、价格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32"/>
        <w:gridCol w:w="1381"/>
        <w:gridCol w:w="879"/>
        <w:gridCol w:w="879"/>
        <w:gridCol w:w="1005"/>
        <w:gridCol w:w="1131"/>
        <w:gridCol w:w="1383"/>
      </w:tblGrid>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产品名称</w:t>
            </w:r>
          </w:p>
        </w:tc>
        <w:tc>
          <w:tcPr>
            <w:tcW w:w="833"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产地</w:t>
            </w:r>
          </w:p>
        </w:tc>
        <w:tc>
          <w:tcPr>
            <w:tcW w:w="530"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规格</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等级</w:t>
            </w:r>
          </w:p>
        </w:tc>
        <w:tc>
          <w:tcPr>
            <w:tcW w:w="530"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数量</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（吨）</w:t>
            </w:r>
          </w:p>
        </w:tc>
        <w:tc>
          <w:tcPr>
            <w:tcW w:w="606"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单价</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（元/吨）</w:t>
            </w:r>
          </w:p>
        </w:tc>
        <w:tc>
          <w:tcPr>
            <w:tcW w:w="682"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金额</w:t>
            </w:r>
          </w:p>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（元）</w:t>
            </w:r>
          </w:p>
        </w:tc>
        <w:tc>
          <w:tcPr>
            <w:tcW w:w="833" w:type="pct"/>
            <w:vAlign w:val="center"/>
          </w:tcPr>
          <w:p w:rsidR="004B5303" w:rsidRPr="0017105C" w:rsidRDefault="004B5303" w:rsidP="0017105C">
            <w:pPr>
              <w:adjustRightInd w:val="0"/>
              <w:snapToGrid w:val="0"/>
              <w:jc w:val="center"/>
              <w:rPr>
                <w:rFonts w:ascii="宋体" w:eastAsia="宋体" w:hAnsi="宋体"/>
                <w:b/>
                <w:sz w:val="24"/>
              </w:rPr>
            </w:pPr>
            <w:r w:rsidRPr="0017105C">
              <w:rPr>
                <w:rFonts w:ascii="宋体" w:eastAsia="宋体" w:hAnsi="宋体" w:hint="eastAsia"/>
                <w:b/>
                <w:sz w:val="24"/>
              </w:rPr>
              <w:t>备注</w:t>
            </w: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985"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530" w:type="pct"/>
            <w:vAlign w:val="center"/>
          </w:tcPr>
          <w:p w:rsidR="004B5303" w:rsidRPr="0017105C" w:rsidRDefault="004B5303" w:rsidP="0017105C">
            <w:pPr>
              <w:adjustRightInd w:val="0"/>
              <w:snapToGrid w:val="0"/>
              <w:jc w:val="center"/>
              <w:rPr>
                <w:rFonts w:ascii="宋体" w:eastAsia="宋体" w:hAnsi="宋体"/>
                <w:bCs/>
                <w:sz w:val="24"/>
              </w:rPr>
            </w:pPr>
          </w:p>
        </w:tc>
        <w:tc>
          <w:tcPr>
            <w:tcW w:w="606" w:type="pct"/>
            <w:vAlign w:val="center"/>
          </w:tcPr>
          <w:p w:rsidR="004B5303" w:rsidRPr="0017105C" w:rsidRDefault="004B5303" w:rsidP="0017105C">
            <w:pPr>
              <w:adjustRightInd w:val="0"/>
              <w:snapToGrid w:val="0"/>
              <w:jc w:val="center"/>
              <w:rPr>
                <w:rFonts w:ascii="宋体" w:eastAsia="宋体" w:hAnsi="宋体"/>
                <w:bCs/>
                <w:sz w:val="24"/>
              </w:rPr>
            </w:pPr>
          </w:p>
        </w:tc>
        <w:tc>
          <w:tcPr>
            <w:tcW w:w="682" w:type="pct"/>
            <w:vAlign w:val="center"/>
          </w:tcPr>
          <w:p w:rsidR="004B5303" w:rsidRPr="0017105C" w:rsidRDefault="004B5303" w:rsidP="0017105C">
            <w:pPr>
              <w:adjustRightInd w:val="0"/>
              <w:snapToGrid w:val="0"/>
              <w:jc w:val="center"/>
              <w:rPr>
                <w:rFonts w:ascii="宋体" w:eastAsia="宋体" w:hAnsi="宋体"/>
                <w:bCs/>
                <w:sz w:val="24"/>
              </w:rPr>
            </w:pPr>
          </w:p>
        </w:tc>
        <w:tc>
          <w:tcPr>
            <w:tcW w:w="833" w:type="pct"/>
            <w:vAlign w:val="center"/>
          </w:tcPr>
          <w:p w:rsidR="004B5303" w:rsidRPr="0017105C" w:rsidRDefault="004B5303" w:rsidP="0017105C">
            <w:pPr>
              <w:adjustRightInd w:val="0"/>
              <w:snapToGrid w:val="0"/>
              <w:jc w:val="center"/>
              <w:rPr>
                <w:rFonts w:ascii="宋体" w:eastAsia="宋体" w:hAnsi="宋体"/>
                <w:bCs/>
                <w:sz w:val="24"/>
              </w:rPr>
            </w:pPr>
          </w:p>
        </w:tc>
      </w:tr>
      <w:tr w:rsidR="004B5303" w:rsidRPr="0017105C" w:rsidTr="001979AC">
        <w:trPr>
          <w:trHeight w:val="397"/>
          <w:jc w:val="center"/>
        </w:trPr>
        <w:tc>
          <w:tcPr>
            <w:tcW w:w="5000" w:type="pct"/>
            <w:gridSpan w:val="7"/>
            <w:vAlign w:val="center"/>
          </w:tcPr>
          <w:p w:rsidR="004B5303" w:rsidRPr="0017105C" w:rsidRDefault="004B5303" w:rsidP="0017105C">
            <w:pPr>
              <w:adjustRightInd w:val="0"/>
              <w:snapToGrid w:val="0"/>
              <w:rPr>
                <w:rFonts w:ascii="宋体" w:eastAsia="宋体" w:hAnsi="宋体"/>
                <w:b/>
                <w:sz w:val="24"/>
              </w:rPr>
            </w:pPr>
            <w:r w:rsidRPr="0017105C">
              <w:rPr>
                <w:rFonts w:ascii="宋体" w:eastAsia="宋体" w:hAnsi="宋体" w:hint="eastAsia"/>
                <w:b/>
                <w:sz w:val="24"/>
              </w:rPr>
              <w:t>合计人民币金额（大写）：</w:t>
            </w:r>
          </w:p>
        </w:tc>
      </w:tr>
    </w:tbl>
    <w:p w:rsidR="004B5303" w:rsidRPr="00A134C9" w:rsidRDefault="004B5303" w:rsidP="0017105C">
      <w:pPr>
        <w:adjustRightInd w:val="0"/>
        <w:snapToGrid w:val="0"/>
        <w:spacing w:before="240" w:line="360" w:lineRule="auto"/>
        <w:ind w:firstLine="567"/>
        <w:rPr>
          <w:rFonts w:ascii="宋体" w:eastAsia="宋体" w:hAnsi="宋体"/>
          <w:b/>
          <w:sz w:val="24"/>
        </w:rPr>
      </w:pPr>
      <w:r w:rsidRPr="00A134C9">
        <w:rPr>
          <w:rFonts w:ascii="宋体" w:eastAsia="宋体" w:hAnsi="宋体" w:hint="eastAsia"/>
          <w:b/>
          <w:sz w:val="24"/>
        </w:rPr>
        <w:t>第二条  质量标准</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双方约定交易的砂石料按下列第</w:t>
      </w:r>
      <w:r w:rsidRPr="0017105C">
        <w:rPr>
          <w:rFonts w:ascii="宋体" w:eastAsia="宋体" w:hAnsi="宋体" w:hint="eastAsia"/>
          <w:sz w:val="24"/>
          <w:u w:val="single"/>
        </w:rPr>
        <w:t xml:space="preserve">        </w:t>
      </w:r>
      <w:r w:rsidRPr="0017105C">
        <w:rPr>
          <w:rFonts w:ascii="宋体" w:eastAsia="宋体" w:hAnsi="宋体" w:hint="eastAsia"/>
          <w:sz w:val="24"/>
        </w:rPr>
        <w:t>项标准执行。</w:t>
      </w:r>
    </w:p>
    <w:p w:rsidR="004B5303"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1．国家标准</w:t>
      </w:r>
      <w:r>
        <w:rPr>
          <w:rFonts w:ascii="宋体" w:eastAsia="宋体" w:hAnsi="宋体" w:hint="eastAsia"/>
          <w:sz w:val="24"/>
        </w:rPr>
        <w:t>：</w:t>
      </w:r>
    </w:p>
    <w:p w:rsidR="004B5303" w:rsidRDefault="004B5303" w:rsidP="00293EC9">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w:t>
      </w:r>
      <w:r w:rsidRPr="0017105C">
        <w:rPr>
          <w:rFonts w:ascii="宋体" w:eastAsia="宋体" w:hAnsi="宋体"/>
          <w:sz w:val="24"/>
        </w:rPr>
        <w:t>GB／T14684－2001《建筑用砂》</w:t>
      </w:r>
    </w:p>
    <w:p w:rsidR="004B5303" w:rsidRPr="0017105C" w:rsidRDefault="004B5303" w:rsidP="00293EC9">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w:t>
      </w:r>
      <w:r w:rsidRPr="0017105C">
        <w:rPr>
          <w:rFonts w:ascii="宋体" w:eastAsia="宋体" w:hAnsi="宋体"/>
          <w:sz w:val="24"/>
        </w:rPr>
        <w:t>GB／T14685－2001《建筑用卵石、碎石》</w:t>
      </w:r>
      <w:r w:rsidRPr="0017105C">
        <w:rPr>
          <w:rFonts w:ascii="宋体" w:eastAsia="宋体" w:hAnsi="宋体" w:hint="eastAsia"/>
          <w:sz w:val="24"/>
        </w:rPr>
        <w:t>。</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2．行业标准</w:t>
      </w:r>
      <w:r>
        <w:rPr>
          <w:rFonts w:ascii="宋体" w:eastAsia="宋体" w:hAnsi="宋体" w:hint="eastAsia"/>
          <w:sz w:val="24"/>
        </w:rPr>
        <w:t>：</w:t>
      </w:r>
      <w:r w:rsidRPr="0017105C">
        <w:rPr>
          <w:rFonts w:ascii="宋体" w:eastAsia="宋体" w:hAnsi="宋体" w:hint="eastAsia"/>
          <w:sz w:val="24"/>
        </w:rPr>
        <w:t>JCJ 52-2006《普通混凝土用砂、石质量及检测方法标准》。</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3．其他：</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A134C9" w:rsidRDefault="004B5303" w:rsidP="0017105C">
      <w:pPr>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第三条  交付方式</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1．交付时间与数量：</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2．交付方式：按下列第</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项执行。</w:t>
      </w:r>
    </w:p>
    <w:p w:rsidR="004B5303" w:rsidRPr="0017105C" w:rsidRDefault="004B5303" w:rsidP="0017105C">
      <w:pPr>
        <w:adjustRightInd w:val="0"/>
        <w:snapToGrid w:val="0"/>
        <w:spacing w:line="360" w:lineRule="auto"/>
        <w:ind w:firstLine="567"/>
        <w:rPr>
          <w:rFonts w:ascii="宋体" w:eastAsia="宋体" w:hAnsi="宋体"/>
          <w:sz w:val="24"/>
        </w:rPr>
      </w:pPr>
      <w:r w:rsidRPr="0017105C">
        <w:rPr>
          <w:rFonts w:ascii="宋体" w:eastAsia="宋体" w:hAnsi="宋体" w:hint="eastAsia"/>
          <w:sz w:val="24"/>
        </w:rPr>
        <w:t>（1）乙方送货。（2）甲方自提。（3）其他：</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u w:val="single"/>
        </w:rPr>
      </w:pPr>
      <w:r w:rsidRPr="0017105C">
        <w:rPr>
          <w:rFonts w:ascii="宋体" w:eastAsia="宋体" w:hAnsi="宋体" w:hint="eastAsia"/>
          <w:sz w:val="24"/>
        </w:rPr>
        <w:t>3．交付地点：</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第四条  验收</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lastRenderedPageBreak/>
        <w:t>1．乙方送货或由乙方交由第三方承运的，在产品运抵交货处后，甲方应在</w:t>
      </w:r>
      <w:r w:rsidRPr="0017105C">
        <w:rPr>
          <w:rFonts w:ascii="宋体" w:eastAsia="宋体" w:hAnsi="宋体" w:hint="eastAsia"/>
          <w:sz w:val="24"/>
          <w:u w:val="single"/>
        </w:rPr>
        <w:t xml:space="preserve">    </w:t>
      </w:r>
      <w:r w:rsidRPr="0017105C">
        <w:rPr>
          <w:rFonts w:ascii="宋体" w:eastAsia="宋体" w:hAnsi="宋体" w:hint="eastAsia"/>
          <w:sz w:val="24"/>
        </w:rPr>
        <w:t>日内做好验收工作。</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2．乙方应向甲方提供该批产品的《质量检验报告》或《砂石产品质量保证书》。交货时，甲方应与乙方一同验收，验收完成后甲方应出具验收单。</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3．甲乙双方对砂石料质量有异议的，需要对砂石料进行物化检测的，双方约定在</w:t>
      </w:r>
      <w:r w:rsidRPr="0017105C">
        <w:rPr>
          <w:rFonts w:ascii="宋体" w:eastAsia="宋体" w:hAnsi="宋体" w:hint="eastAsia"/>
          <w:sz w:val="24"/>
          <w:u w:val="single"/>
        </w:rPr>
        <w:t xml:space="preserve">    </w:t>
      </w:r>
      <w:r w:rsidRPr="0017105C">
        <w:rPr>
          <w:rFonts w:ascii="宋体" w:eastAsia="宋体" w:hAnsi="宋体" w:hint="eastAsia"/>
          <w:sz w:val="24"/>
        </w:rPr>
        <w:t>日内完成检测，并在抽样单上签字确认，根据检测结果协商处理。</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4．甲方应当在约定的验收期间内将砂石料的数量或者质量不符合约定的情形通知乙方。甲方怠于通知的，视为所交付砂石料的数量或者质量符合合同约定。</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第五条  支付方式</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1．支付方式：</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（1）合同签订后</w:t>
      </w:r>
      <w:r w:rsidRPr="0017105C">
        <w:rPr>
          <w:rFonts w:ascii="宋体" w:eastAsia="宋体" w:hAnsi="宋体" w:hint="eastAsia"/>
          <w:sz w:val="24"/>
          <w:u w:val="single"/>
        </w:rPr>
        <w:t xml:space="preserve">    </w:t>
      </w:r>
      <w:r w:rsidRPr="0017105C">
        <w:rPr>
          <w:rFonts w:ascii="宋体" w:eastAsia="宋体" w:hAnsi="宋体" w:hint="eastAsia"/>
          <w:sz w:val="24"/>
        </w:rPr>
        <w:t>日内，甲方向乙方支付合同总价款的</w:t>
      </w:r>
      <w:r w:rsidRPr="0017105C">
        <w:rPr>
          <w:rFonts w:ascii="宋体" w:eastAsia="宋体" w:hAnsi="宋体" w:hint="eastAsia"/>
          <w:sz w:val="24"/>
          <w:u w:val="single"/>
        </w:rPr>
        <w:t xml:space="preserve">    </w:t>
      </w:r>
      <w:r w:rsidRPr="0017105C">
        <w:rPr>
          <w:rFonts w:ascii="宋体" w:eastAsia="宋体" w:hAnsi="宋体" w:hint="eastAsia"/>
          <w:sz w:val="24"/>
        </w:rPr>
        <w:t xml:space="preserve">%作为预付款，计人民币 </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（2）款项支付：</w:t>
      </w:r>
    </w:p>
    <w:p w:rsidR="004B5303"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①</w:t>
      </w:r>
      <w:r w:rsidRPr="0017105C">
        <w:rPr>
          <w:rFonts w:ascii="宋体" w:eastAsia="宋体" w:hAnsi="宋体" w:hint="eastAsia"/>
          <w:sz w:val="24"/>
          <w:u w:val="single"/>
        </w:rPr>
        <w:t xml:space="preserve">         </w:t>
      </w:r>
      <w:r w:rsidRPr="0017105C">
        <w:rPr>
          <w:rFonts w:ascii="宋体" w:eastAsia="宋体" w:hAnsi="宋体" w:hint="eastAsia"/>
          <w:sz w:val="24"/>
        </w:rPr>
        <w:t>年</w:t>
      </w:r>
      <w:r w:rsidRPr="0017105C">
        <w:rPr>
          <w:rFonts w:ascii="宋体" w:eastAsia="宋体" w:hAnsi="宋体" w:hint="eastAsia"/>
          <w:sz w:val="24"/>
          <w:u w:val="single"/>
        </w:rPr>
        <w:t xml:space="preserve">    </w:t>
      </w:r>
      <w:r w:rsidRPr="0017105C">
        <w:rPr>
          <w:rFonts w:ascii="宋体" w:eastAsia="宋体" w:hAnsi="宋体" w:hint="eastAsia"/>
          <w:sz w:val="24"/>
        </w:rPr>
        <w:t>月</w:t>
      </w:r>
      <w:r w:rsidRPr="0017105C">
        <w:rPr>
          <w:rFonts w:ascii="宋体" w:eastAsia="宋体" w:hAnsi="宋体" w:hint="eastAsia"/>
          <w:sz w:val="24"/>
          <w:u w:val="single"/>
        </w:rPr>
        <w:t xml:space="preserve">    </w:t>
      </w:r>
      <w:r w:rsidRPr="0017105C">
        <w:rPr>
          <w:rFonts w:ascii="宋体" w:eastAsia="宋体" w:hAnsi="宋体" w:hint="eastAsia"/>
          <w:sz w:val="24"/>
        </w:rPr>
        <w:t>日，支付</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u w:val="single"/>
        </w:rPr>
        <w:t xml:space="preserve">         </w:t>
      </w:r>
      <w:r w:rsidRPr="0017105C">
        <w:rPr>
          <w:rFonts w:ascii="宋体" w:eastAsia="宋体" w:hAnsi="宋体" w:hint="eastAsia"/>
          <w:sz w:val="24"/>
        </w:rPr>
        <w:t>年</w:t>
      </w:r>
      <w:r w:rsidRPr="0017105C">
        <w:rPr>
          <w:rFonts w:ascii="宋体" w:eastAsia="宋体" w:hAnsi="宋体" w:hint="eastAsia"/>
          <w:sz w:val="24"/>
          <w:u w:val="single"/>
        </w:rPr>
        <w:t xml:space="preserve">    </w:t>
      </w:r>
      <w:r w:rsidRPr="0017105C">
        <w:rPr>
          <w:rFonts w:ascii="宋体" w:eastAsia="宋体" w:hAnsi="宋体" w:hint="eastAsia"/>
          <w:sz w:val="24"/>
        </w:rPr>
        <w:t>月</w:t>
      </w:r>
      <w:r w:rsidRPr="0017105C">
        <w:rPr>
          <w:rFonts w:ascii="宋体" w:eastAsia="宋体" w:hAnsi="宋体" w:hint="eastAsia"/>
          <w:sz w:val="24"/>
          <w:u w:val="single"/>
        </w:rPr>
        <w:t xml:space="preserve">    </w:t>
      </w:r>
      <w:r w:rsidRPr="0017105C">
        <w:rPr>
          <w:rFonts w:ascii="宋体" w:eastAsia="宋体" w:hAnsi="宋体" w:hint="eastAsia"/>
          <w:sz w:val="24"/>
        </w:rPr>
        <w:t>日，支付</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u w:val="single"/>
        </w:rPr>
        <w:t xml:space="preserve">         </w:t>
      </w:r>
      <w:r w:rsidRPr="0017105C">
        <w:rPr>
          <w:rFonts w:ascii="宋体" w:eastAsia="宋体" w:hAnsi="宋体" w:hint="eastAsia"/>
          <w:sz w:val="24"/>
        </w:rPr>
        <w:t>年</w:t>
      </w:r>
      <w:r w:rsidRPr="0017105C">
        <w:rPr>
          <w:rFonts w:ascii="宋体" w:eastAsia="宋体" w:hAnsi="宋体" w:hint="eastAsia"/>
          <w:sz w:val="24"/>
          <w:u w:val="single"/>
        </w:rPr>
        <w:t xml:space="preserve">    </w:t>
      </w:r>
      <w:r w:rsidRPr="0017105C">
        <w:rPr>
          <w:rFonts w:ascii="宋体" w:eastAsia="宋体" w:hAnsi="宋体" w:hint="eastAsia"/>
          <w:sz w:val="24"/>
        </w:rPr>
        <w:t>月</w:t>
      </w:r>
      <w:r w:rsidRPr="0017105C">
        <w:rPr>
          <w:rFonts w:ascii="宋体" w:eastAsia="宋体" w:hAnsi="宋体" w:hint="eastAsia"/>
          <w:sz w:val="24"/>
          <w:u w:val="single"/>
        </w:rPr>
        <w:t xml:space="preserve">    </w:t>
      </w:r>
      <w:r w:rsidRPr="0017105C">
        <w:rPr>
          <w:rFonts w:ascii="宋体" w:eastAsia="宋体" w:hAnsi="宋体" w:hint="eastAsia"/>
          <w:sz w:val="24"/>
        </w:rPr>
        <w:t>日，支付</w:t>
      </w:r>
      <w:r w:rsidRPr="0017105C">
        <w:rPr>
          <w:rFonts w:ascii="宋体" w:eastAsia="宋体" w:hAnsi="宋体" w:hint="eastAsia"/>
          <w:sz w:val="24"/>
          <w:u w:val="single"/>
        </w:rPr>
        <w:t xml:space="preserve">                  </w:t>
      </w:r>
      <w:r w:rsidRPr="0017105C">
        <w:rPr>
          <w:rFonts w:ascii="宋体" w:eastAsia="宋体" w:hAnsi="宋体" w:hint="eastAsia"/>
          <w:sz w:val="24"/>
        </w:rPr>
        <w:t>元；</w:t>
      </w:r>
    </w:p>
    <w:p w:rsidR="004B5303" w:rsidRPr="0017105C" w:rsidRDefault="004B5303" w:rsidP="00C577B5">
      <w:pPr>
        <w:wordWrap w:val="0"/>
        <w:adjustRightInd w:val="0"/>
        <w:snapToGrid w:val="0"/>
        <w:spacing w:line="360" w:lineRule="auto"/>
        <w:ind w:firstLine="567"/>
        <w:rPr>
          <w:rFonts w:ascii="宋体" w:eastAsia="宋体" w:hAnsi="宋体"/>
          <w:sz w:val="24"/>
          <w:u w:val="single"/>
        </w:rPr>
      </w:pPr>
      <w:r w:rsidRPr="0017105C">
        <w:rPr>
          <w:rFonts w:ascii="宋体" w:eastAsia="宋体" w:hAnsi="宋体" w:hint="eastAsia"/>
          <w:sz w:val="24"/>
        </w:rPr>
        <w:t>②其他方式：</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③乙方供货结束</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日内，甲方付清余款。</w:t>
      </w:r>
    </w:p>
    <w:p w:rsidR="004B5303" w:rsidRPr="00C577B5"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2．双方经自愿协商采取以下结算方式：□现金</w:t>
      </w:r>
      <w:r>
        <w:rPr>
          <w:rFonts w:ascii="宋体" w:eastAsia="宋体" w:hAnsi="宋体" w:hint="eastAsia"/>
          <w:sz w:val="24"/>
        </w:rPr>
        <w:t>；</w:t>
      </w:r>
      <w:r w:rsidRPr="0017105C">
        <w:rPr>
          <w:rFonts w:ascii="宋体" w:eastAsia="宋体" w:hAnsi="宋体" w:hint="eastAsia"/>
          <w:sz w:val="24"/>
        </w:rPr>
        <w:t>□支票</w:t>
      </w:r>
      <w:r>
        <w:rPr>
          <w:rFonts w:ascii="宋体" w:eastAsia="宋体" w:hAnsi="宋体" w:hint="eastAsia"/>
          <w:sz w:val="24"/>
        </w:rPr>
        <w:t>；</w:t>
      </w:r>
      <w:r w:rsidRPr="0017105C">
        <w:rPr>
          <w:rFonts w:ascii="宋体" w:eastAsia="宋体" w:hAnsi="宋体" w:hint="eastAsia"/>
          <w:sz w:val="24"/>
        </w:rPr>
        <w:t>□其他</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rPr>
        <w:t>。</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第六条  违约责任</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w:t>
      </w:r>
      <w:r w:rsidRPr="0017105C">
        <w:rPr>
          <w:rFonts w:ascii="宋体" w:eastAsia="宋体" w:hAnsi="宋体"/>
          <w:sz w:val="24"/>
        </w:rPr>
        <w:t>乙方交付的</w:t>
      </w:r>
      <w:r w:rsidRPr="0017105C">
        <w:rPr>
          <w:rFonts w:ascii="宋体" w:eastAsia="宋体" w:hAnsi="宋体" w:hint="eastAsia"/>
          <w:sz w:val="24"/>
        </w:rPr>
        <w:t>砂石料质量不</w:t>
      </w:r>
      <w:r w:rsidRPr="0017105C">
        <w:rPr>
          <w:rFonts w:ascii="宋体" w:eastAsia="宋体" w:hAnsi="宋体"/>
          <w:sz w:val="24"/>
        </w:rPr>
        <w:t>符合本合同</w:t>
      </w:r>
      <w:r w:rsidRPr="0017105C">
        <w:rPr>
          <w:rFonts w:ascii="宋体" w:eastAsia="宋体" w:hAnsi="宋体" w:hint="eastAsia"/>
          <w:sz w:val="24"/>
        </w:rPr>
        <w:t>约定的，甲方可要求更换或退货。更换后仍不能达标或不能重新供料的，甲方有权解除合同，并要求乙方赔偿相应损失。</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w:t>
      </w:r>
      <w:r w:rsidRPr="0017105C">
        <w:rPr>
          <w:rFonts w:ascii="宋体" w:eastAsia="宋体" w:hAnsi="宋体"/>
          <w:sz w:val="24"/>
        </w:rPr>
        <w:t>乙方</w:t>
      </w:r>
      <w:r w:rsidRPr="0017105C">
        <w:rPr>
          <w:rFonts w:ascii="宋体" w:eastAsia="宋体" w:hAnsi="宋体" w:hint="eastAsia"/>
          <w:sz w:val="24"/>
        </w:rPr>
        <w:t>逾期</w:t>
      </w:r>
      <w:r w:rsidRPr="0017105C">
        <w:rPr>
          <w:rFonts w:ascii="宋体" w:eastAsia="宋体" w:hAnsi="宋体"/>
          <w:sz w:val="24"/>
        </w:rPr>
        <w:t>交付</w:t>
      </w:r>
      <w:r w:rsidRPr="0017105C">
        <w:rPr>
          <w:rFonts w:ascii="宋体" w:eastAsia="宋体" w:hAnsi="宋体" w:hint="eastAsia"/>
          <w:sz w:val="24"/>
        </w:rPr>
        <w:t>的，</w:t>
      </w:r>
      <w:r w:rsidRPr="0017105C">
        <w:rPr>
          <w:rFonts w:ascii="宋体" w:eastAsia="宋体" w:hAnsi="宋体"/>
          <w:sz w:val="24"/>
        </w:rPr>
        <w:t>甲方</w:t>
      </w:r>
      <w:r w:rsidRPr="0017105C">
        <w:rPr>
          <w:rFonts w:ascii="宋体" w:eastAsia="宋体" w:hAnsi="宋体" w:hint="eastAsia"/>
          <w:sz w:val="24"/>
        </w:rPr>
        <w:t>有权要求乙方继续履行，并向甲方支付违约金，违约金每日按逾期交付砂石料金额的</w:t>
      </w:r>
      <w:r w:rsidRPr="0017105C">
        <w:rPr>
          <w:rFonts w:ascii="宋体" w:eastAsia="宋体" w:hAnsi="宋体" w:hint="eastAsia"/>
          <w:sz w:val="24"/>
          <w:u w:val="single"/>
        </w:rPr>
        <w:t xml:space="preserve">    </w:t>
      </w:r>
      <w:r w:rsidRPr="0017105C">
        <w:rPr>
          <w:rFonts w:ascii="宋体" w:eastAsia="宋体" w:hAnsi="宋体" w:hint="eastAsia"/>
          <w:sz w:val="24"/>
        </w:rPr>
        <w:t>%计算。</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3．因甲方原因导致迟延交付的，由此给乙方造成的损失甲方应予赔偿。</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4．甲方逾期支付合同价款的，应向乙方支付违约金，违约金每日按逾期支付价款的</w:t>
      </w:r>
      <w:r w:rsidRPr="0017105C">
        <w:rPr>
          <w:rFonts w:ascii="宋体" w:eastAsia="宋体" w:hAnsi="宋体" w:hint="eastAsia"/>
          <w:sz w:val="24"/>
          <w:u w:val="single"/>
        </w:rPr>
        <w:t xml:space="preserve">  </w:t>
      </w:r>
      <w:r>
        <w:rPr>
          <w:rFonts w:ascii="宋体" w:eastAsia="宋体" w:hAnsi="宋体" w:hint="eastAsia"/>
          <w:sz w:val="24"/>
          <w:u w:val="single"/>
        </w:rPr>
        <w:t xml:space="preserve">  </w:t>
      </w:r>
      <w:r w:rsidRPr="0017105C">
        <w:rPr>
          <w:rFonts w:ascii="宋体" w:eastAsia="宋体" w:hAnsi="宋体" w:hint="eastAsia"/>
          <w:sz w:val="24"/>
          <w:u w:val="single"/>
        </w:rPr>
        <w:t xml:space="preserve">  </w:t>
      </w:r>
      <w:r w:rsidRPr="0017105C">
        <w:rPr>
          <w:rFonts w:ascii="宋体" w:eastAsia="宋体" w:hAnsi="宋体" w:hint="eastAsia"/>
          <w:sz w:val="24"/>
        </w:rPr>
        <w:t>%计算。</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第七条  其他约定</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1．甲乙双方对履行本合同期间砂石料价格变动的约定：</w:t>
      </w:r>
      <w:r>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2．</w:t>
      </w:r>
      <w:r w:rsidRPr="0017105C">
        <w:rPr>
          <w:rFonts w:ascii="宋体" w:eastAsia="宋体" w:hAnsi="宋体" w:hint="eastAsia"/>
          <w:sz w:val="24"/>
          <w:u w:val="single"/>
        </w:rPr>
        <w:t xml:space="preserve">                                                       </w:t>
      </w:r>
      <w:r w:rsidRPr="0017105C">
        <w:rPr>
          <w:rFonts w:ascii="宋体" w:eastAsia="宋体" w:hAnsi="宋体" w:hint="eastAsia"/>
          <w:sz w:val="24"/>
        </w:rPr>
        <w:t>。</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lastRenderedPageBreak/>
        <w:t>3．</w:t>
      </w:r>
      <w:r w:rsidRPr="0017105C">
        <w:rPr>
          <w:rFonts w:ascii="宋体" w:eastAsia="宋体" w:hAnsi="宋体"/>
          <w:sz w:val="24"/>
        </w:rPr>
        <w:t>本合同的未尽事宜及本合同在履行过程中需变更的事宜，双方应通过订立补充条款或补充协议进行约定。本合同的补充条款、补充协议及附件均为本合同不可分割的部分。</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第八条  争议解决方式</w:t>
      </w:r>
    </w:p>
    <w:p w:rsidR="004B5303" w:rsidRPr="0017105C" w:rsidRDefault="004B5303" w:rsidP="00C577B5">
      <w:pPr>
        <w:wordWrap w:val="0"/>
        <w:adjustRightInd w:val="0"/>
        <w:snapToGrid w:val="0"/>
        <w:spacing w:after="60" w:line="360" w:lineRule="auto"/>
        <w:ind w:firstLine="567"/>
        <w:rPr>
          <w:rFonts w:ascii="宋体" w:eastAsia="宋体" w:hAnsi="宋体"/>
          <w:sz w:val="24"/>
        </w:rPr>
      </w:pPr>
      <w:r w:rsidRPr="0017105C">
        <w:rPr>
          <w:rFonts w:ascii="宋体" w:eastAsia="宋体" w:hAnsi="宋体" w:hint="eastAsia"/>
          <w:sz w:val="24"/>
        </w:rPr>
        <w:t>双方发生争议的，可协商解决，或向上海石材行业协会及向有关部门申请调解；也可提请上海仲裁委员会仲裁</w:t>
      </w:r>
      <w:r w:rsidRPr="0017105C">
        <w:rPr>
          <w:rFonts w:ascii="宋体" w:eastAsia="宋体" w:hAnsi="宋体" w:hint="eastAsia"/>
          <w:b/>
          <w:sz w:val="24"/>
        </w:rPr>
        <w:t>（</w:t>
      </w:r>
      <w:r w:rsidRPr="0017105C">
        <w:rPr>
          <w:rFonts w:ascii="宋体" w:eastAsia="宋体" w:hAnsi="宋体" w:hint="eastAsia"/>
          <w:b/>
          <w:sz w:val="24"/>
          <w:em w:val="dot"/>
        </w:rPr>
        <w:t>不愿意仲裁而选择向法院提起诉讼的</w:t>
      </w:r>
      <w:r w:rsidRPr="0017105C">
        <w:rPr>
          <w:rFonts w:ascii="宋体" w:eastAsia="宋体" w:hAnsi="宋体" w:hint="eastAsia"/>
          <w:b/>
          <w:sz w:val="24"/>
        </w:rPr>
        <w:t>，</w:t>
      </w:r>
      <w:r w:rsidRPr="0017105C">
        <w:rPr>
          <w:rFonts w:ascii="宋体" w:eastAsia="宋体" w:hAnsi="宋体" w:hint="eastAsia"/>
          <w:b/>
          <w:sz w:val="24"/>
          <w:em w:val="dot"/>
        </w:rPr>
        <w:t>请双方在签署合同时将此仲裁条款划去</w:t>
      </w:r>
      <w:r w:rsidRPr="0017105C">
        <w:rPr>
          <w:rFonts w:ascii="宋体" w:eastAsia="宋体" w:hAnsi="宋体" w:hint="eastAsia"/>
          <w:b/>
          <w:sz w:val="24"/>
        </w:rPr>
        <w:t>）</w:t>
      </w:r>
      <w:r w:rsidRPr="0017105C">
        <w:rPr>
          <w:rFonts w:ascii="宋体" w:eastAsia="宋体" w:hAnsi="宋体" w:hint="eastAsia"/>
          <w:sz w:val="24"/>
        </w:rPr>
        <w:t>。</w:t>
      </w:r>
    </w:p>
    <w:p w:rsidR="004B5303" w:rsidRPr="00A134C9" w:rsidRDefault="004B5303" w:rsidP="00C577B5">
      <w:pPr>
        <w:wordWrap w:val="0"/>
        <w:adjustRightInd w:val="0"/>
        <w:snapToGrid w:val="0"/>
        <w:spacing w:line="360" w:lineRule="auto"/>
        <w:ind w:firstLine="567"/>
        <w:rPr>
          <w:rFonts w:ascii="宋体" w:eastAsia="宋体" w:hAnsi="宋体"/>
          <w:b/>
          <w:sz w:val="24"/>
        </w:rPr>
      </w:pPr>
      <w:r w:rsidRPr="00A134C9">
        <w:rPr>
          <w:rFonts w:ascii="宋体" w:eastAsia="宋体" w:hAnsi="宋体" w:hint="eastAsia"/>
          <w:b/>
          <w:sz w:val="24"/>
        </w:rPr>
        <w:t>第九条  附则</w:t>
      </w:r>
    </w:p>
    <w:p w:rsidR="004B5303" w:rsidRPr="0017105C" w:rsidRDefault="004B5303" w:rsidP="00C577B5">
      <w:pPr>
        <w:wordWrap w:val="0"/>
        <w:adjustRightInd w:val="0"/>
        <w:snapToGrid w:val="0"/>
        <w:spacing w:line="360" w:lineRule="auto"/>
        <w:ind w:firstLine="567"/>
        <w:rPr>
          <w:rFonts w:ascii="宋体" w:eastAsia="宋体" w:hAnsi="宋体"/>
          <w:sz w:val="24"/>
        </w:rPr>
      </w:pPr>
      <w:r w:rsidRPr="0017105C">
        <w:rPr>
          <w:rFonts w:ascii="宋体" w:eastAsia="宋体" w:hAnsi="宋体" w:hint="eastAsia"/>
          <w:sz w:val="24"/>
        </w:rPr>
        <w:t>1．本合同自甲乙双方签字或盖章之日起生效。</w:t>
      </w:r>
    </w:p>
    <w:p w:rsidR="004B5303" w:rsidRPr="0017105C" w:rsidRDefault="004B5303" w:rsidP="00C577B5">
      <w:pPr>
        <w:wordWrap w:val="0"/>
        <w:adjustRightInd w:val="0"/>
        <w:snapToGrid w:val="0"/>
        <w:spacing w:after="472" w:line="360" w:lineRule="auto"/>
        <w:ind w:firstLine="567"/>
        <w:rPr>
          <w:rFonts w:ascii="宋体" w:eastAsia="宋体" w:hAnsi="宋体"/>
          <w:sz w:val="24"/>
        </w:rPr>
      </w:pPr>
      <w:r w:rsidRPr="0017105C">
        <w:rPr>
          <w:rFonts w:ascii="宋体" w:eastAsia="宋体" w:hAnsi="宋体" w:hint="eastAsia"/>
          <w:sz w:val="24"/>
        </w:rPr>
        <w:t>2．本合同一式</w:t>
      </w:r>
      <w:r w:rsidRPr="0017105C">
        <w:rPr>
          <w:rFonts w:ascii="宋体" w:eastAsia="宋体" w:hAnsi="宋体" w:hint="eastAsia"/>
          <w:sz w:val="24"/>
          <w:u w:val="single"/>
        </w:rPr>
        <w:t xml:space="preserve">    </w:t>
      </w:r>
      <w:r w:rsidRPr="0017105C">
        <w:rPr>
          <w:rFonts w:ascii="宋体" w:eastAsia="宋体" w:hAnsi="宋体" w:hint="eastAsia"/>
          <w:sz w:val="24"/>
        </w:rPr>
        <w:t>份，甲乙双方各执</w:t>
      </w:r>
      <w:r w:rsidRPr="0017105C">
        <w:rPr>
          <w:rFonts w:ascii="宋体" w:eastAsia="宋体" w:hAnsi="宋体" w:hint="eastAsia"/>
          <w:sz w:val="24"/>
          <w:u w:val="single"/>
        </w:rPr>
        <w:t xml:space="preserve">    </w:t>
      </w:r>
      <w:r w:rsidRPr="0017105C">
        <w:rPr>
          <w:rFonts w:ascii="宋体" w:eastAsia="宋体" w:hAnsi="宋体" w:hint="eastAsia"/>
          <w:sz w:val="24"/>
        </w:rPr>
        <w:t>份。</w:t>
      </w:r>
    </w:p>
    <w:tbl>
      <w:tblPr>
        <w:tblW w:w="5000" w:type="pct"/>
        <w:tblLook w:val="04A0" w:firstRow="1" w:lastRow="0" w:firstColumn="1" w:lastColumn="0" w:noHBand="0" w:noVBand="1"/>
      </w:tblPr>
      <w:tblGrid>
        <w:gridCol w:w="4150"/>
        <w:gridCol w:w="4150"/>
      </w:tblGrid>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需    方：（甲方签章）</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供    方：（乙方签章）</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住    所：</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住    所：</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法定代表人：</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法定代表人：</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委托代理人：</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委托代理人：</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电    话：</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电    话：</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传    真：</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传    真：</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开户银行：</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开户银行：</w:t>
            </w:r>
            <w:r w:rsidRPr="00603F63">
              <w:rPr>
                <w:rFonts w:ascii="宋体" w:eastAsia="宋体" w:hAnsi="宋体" w:hint="eastAsia"/>
                <w:sz w:val="24"/>
                <w:u w:val="single"/>
              </w:rPr>
              <w:t xml:space="preserve">                     </w:t>
            </w:r>
          </w:p>
        </w:tc>
      </w:tr>
      <w:tr w:rsidR="004B5303" w:rsidRPr="00603F63" w:rsidTr="001979A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Pr>
                <w:rFonts w:ascii="宋体" w:eastAsia="宋体" w:hAnsi="宋体" w:hint="eastAsia"/>
                <w:sz w:val="24"/>
              </w:rPr>
              <w:t>账</w:t>
            </w:r>
            <w:r w:rsidRPr="00603F63">
              <w:rPr>
                <w:rFonts w:ascii="宋体" w:eastAsia="宋体" w:hAnsi="宋体" w:hint="eastAsia"/>
                <w:sz w:val="24"/>
              </w:rPr>
              <w:t xml:space="preserve">    号：</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Pr>
                <w:rFonts w:ascii="宋体" w:eastAsia="宋体" w:hAnsi="宋体" w:hint="eastAsia"/>
                <w:sz w:val="24"/>
              </w:rPr>
              <w:t>账</w:t>
            </w:r>
            <w:r w:rsidRPr="00603F63">
              <w:rPr>
                <w:rFonts w:ascii="宋体" w:eastAsia="宋体" w:hAnsi="宋体" w:hint="eastAsia"/>
                <w:sz w:val="24"/>
              </w:rPr>
              <w:t xml:space="preserve">    号：</w:t>
            </w:r>
            <w:r w:rsidRPr="00603F63">
              <w:rPr>
                <w:rFonts w:ascii="宋体" w:eastAsia="宋体" w:hAnsi="宋体" w:hint="eastAsia"/>
                <w:sz w:val="24"/>
                <w:u w:val="single"/>
              </w:rPr>
              <w:t xml:space="preserve">                     </w:t>
            </w:r>
          </w:p>
        </w:tc>
      </w:tr>
      <w:tr w:rsidR="004B5303" w:rsidRPr="00603F63" w:rsidTr="008E2AA4">
        <w:trPr>
          <w:trHeight w:val="782"/>
        </w:trPr>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邮政编码：</w:t>
            </w:r>
            <w:r w:rsidRPr="00603F63">
              <w:rPr>
                <w:rFonts w:ascii="宋体" w:eastAsia="宋体" w:hAnsi="宋体" w:hint="eastAsia"/>
                <w:sz w:val="24"/>
                <w:u w:val="single"/>
              </w:rPr>
              <w:t xml:space="preserve">                      </w:t>
            </w:r>
          </w:p>
        </w:tc>
        <w:tc>
          <w:tcPr>
            <w:tcW w:w="2500" w:type="pct"/>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邮政编码：</w:t>
            </w:r>
            <w:r w:rsidRPr="00603F63">
              <w:rPr>
                <w:rFonts w:ascii="宋体" w:eastAsia="宋体" w:hAnsi="宋体" w:hint="eastAsia"/>
                <w:sz w:val="24"/>
                <w:u w:val="single"/>
              </w:rPr>
              <w:t xml:space="preserve">                     </w:t>
            </w:r>
          </w:p>
        </w:tc>
      </w:tr>
      <w:tr w:rsidR="004B5303" w:rsidRPr="00603F63" w:rsidTr="001979AC">
        <w:tc>
          <w:tcPr>
            <w:tcW w:w="5000" w:type="pct"/>
            <w:gridSpan w:val="2"/>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本合同签约地址：</w:t>
            </w:r>
            <w:r w:rsidRPr="00603F63">
              <w:rPr>
                <w:rFonts w:ascii="宋体" w:eastAsia="宋体" w:hAnsi="宋体" w:hint="eastAsia"/>
                <w:sz w:val="24"/>
                <w:u w:val="single"/>
              </w:rPr>
              <w:t xml:space="preserve">                                                </w:t>
            </w:r>
          </w:p>
        </w:tc>
      </w:tr>
      <w:tr w:rsidR="004B5303" w:rsidRPr="00603F63" w:rsidTr="001979AC">
        <w:tc>
          <w:tcPr>
            <w:tcW w:w="5000" w:type="pct"/>
            <w:gridSpan w:val="2"/>
            <w:shd w:val="clear" w:color="auto" w:fill="auto"/>
          </w:tcPr>
          <w:p w:rsidR="004B5303" w:rsidRPr="00603F63" w:rsidRDefault="004B5303" w:rsidP="00603F63">
            <w:pPr>
              <w:adjustRightInd w:val="0"/>
              <w:snapToGrid w:val="0"/>
              <w:spacing w:line="360" w:lineRule="auto"/>
              <w:rPr>
                <w:rFonts w:ascii="宋体" w:eastAsia="宋体" w:hAnsi="宋体"/>
                <w:sz w:val="24"/>
              </w:rPr>
            </w:pPr>
            <w:r w:rsidRPr="00603F63">
              <w:rPr>
                <w:rFonts w:ascii="宋体" w:eastAsia="宋体" w:hAnsi="宋体" w:hint="eastAsia"/>
                <w:sz w:val="24"/>
              </w:rPr>
              <w:t>签约日期：</w:t>
            </w:r>
            <w:r w:rsidRPr="00603F63">
              <w:rPr>
                <w:rFonts w:ascii="宋体" w:eastAsia="宋体" w:hAnsi="宋体" w:hint="eastAsia"/>
                <w:sz w:val="24"/>
                <w:u w:val="single"/>
              </w:rPr>
              <w:t xml:space="preserve">       </w:t>
            </w:r>
            <w:r w:rsidRPr="00603F63">
              <w:rPr>
                <w:rFonts w:ascii="宋体" w:eastAsia="宋体" w:hAnsi="宋体" w:hint="eastAsia"/>
                <w:sz w:val="24"/>
              </w:rPr>
              <w:t>年</w:t>
            </w:r>
            <w:r w:rsidRPr="00603F63">
              <w:rPr>
                <w:rFonts w:ascii="宋体" w:eastAsia="宋体" w:hAnsi="宋体" w:hint="eastAsia"/>
                <w:sz w:val="24"/>
                <w:u w:val="single"/>
              </w:rPr>
              <w:t xml:space="preserve">    </w:t>
            </w:r>
            <w:r w:rsidRPr="00603F63">
              <w:rPr>
                <w:rFonts w:ascii="宋体" w:eastAsia="宋体" w:hAnsi="宋体" w:hint="eastAsia"/>
                <w:sz w:val="24"/>
              </w:rPr>
              <w:t>月</w:t>
            </w:r>
            <w:r w:rsidRPr="00603F63">
              <w:rPr>
                <w:rFonts w:ascii="宋体" w:eastAsia="宋体" w:hAnsi="宋体" w:hint="eastAsia"/>
                <w:sz w:val="24"/>
                <w:u w:val="single"/>
              </w:rPr>
              <w:t xml:space="preserve">    </w:t>
            </w:r>
            <w:r w:rsidRPr="00603F63">
              <w:rPr>
                <w:rFonts w:ascii="宋体" w:eastAsia="宋体" w:hAnsi="宋体" w:hint="eastAsia"/>
                <w:sz w:val="24"/>
              </w:rPr>
              <w:t>日</w:t>
            </w:r>
          </w:p>
        </w:tc>
      </w:tr>
    </w:tbl>
    <w:p w:rsidR="004B5303" w:rsidRPr="0017105C" w:rsidRDefault="004B5303" w:rsidP="0017105C">
      <w:pPr>
        <w:adjustRightInd w:val="0"/>
        <w:snapToGrid w:val="0"/>
        <w:spacing w:line="360" w:lineRule="auto"/>
        <w:rPr>
          <w:rFonts w:ascii="宋体" w:eastAsia="宋体" w:hAnsi="宋体"/>
          <w:sz w:val="24"/>
        </w:rPr>
      </w:pPr>
    </w:p>
    <w:sectPr w:rsidR="004B5303" w:rsidRPr="0017105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B5303"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4B530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B5303"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4B5303"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933B3"/>
    <w:rsid w:val="007B1AEC"/>
    <w:rsid w:val="00880BA1"/>
    <w:rsid w:val="008A0957"/>
    <w:rsid w:val="009427F6"/>
    <w:rsid w:val="00961147"/>
    <w:rsid w:val="00985410"/>
    <w:rsid w:val="009E1D65"/>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2019-03-21T01:28:00Z</dcterms:created>
  <dcterms:modified xsi:type="dcterms:W3CDTF">2019-03-21T01:28:00Z</dcterms:modified>
</cp:coreProperties>
</file>