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猎头</w:t>
      </w:r>
      <w:bookmarkStart w:id="0" w:name="_GoBack"/>
      <w:bookmarkEnd w:id="0"/>
      <w:r>
        <w:rPr>
          <w:rStyle w:val="8"/>
          <w:rFonts w:hint="eastAsia" w:ascii="宋体" w:hAnsi="宋体" w:eastAsia="宋体" w:cs="宋体"/>
          <w:b/>
          <w:sz w:val="32"/>
          <w:szCs w:val="32"/>
        </w:rPr>
        <w:t>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甲方（接受服务方）：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1.甲方因业务发展需要，现委托乙方就有关职位提供专业的猎头/委托招聘服务；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2.乙方为一家专业的猎头服务公司，同意接受甲方的前述委托。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现经双方友好协商，达成以下合同条款：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甲方委托乙方在本协议期间内推荐相关职位的候选人，具体职位要求由甲方根据其需求提供给乙方（见附件“职位需求登记表”)。乙方将与甲方密切沟通，针对该等职位，对具体猎头服务工作进行确定。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甲方未向乙方要求推荐相关职位候选人的前提下，乙方向甲方推荐候选人的，不属于本协议约定的服务。双方另有约定除外。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乙方须在得到甲方职位需求后十五个工作日内向甲方提供符合甲方需求的候选人及其简历、背景材料，至少包括下列材料：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候选人的简历，其中至少包括：准确工作经历（参加工作以的或至少最近五年以内）；教育经历（至少从大学起）；上一家单位离职情况/原因；是否受过刑事处罚及何种刑事处罚；外语、职业能力等资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（2）测评结果：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甲方在推荐期内雇佣乙方推荐的候选人的，应按本协议约定支付服务费用。在推荐期满后甲方雇佣乙方推荐的候选人的，无需支付服务费用。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推荐期定义：乙方提供候选人资料后的</w:t>
      </w:r>
      <w:r>
        <w:rPr>
          <w:rFonts w:hint="eastAsia" w:ascii="宋体" w:hAnsi="宋体" w:eastAsia="宋体" w:cs="宋体"/>
          <w:sz w:val="24"/>
          <w:szCs w:val="24"/>
          <w:u w:val="single"/>
        </w:rPr>
        <w:t>    </w:t>
      </w:r>
      <w:r>
        <w:rPr>
          <w:rFonts w:hint="eastAsia" w:ascii="宋体" w:hAnsi="宋体" w:eastAsia="宋体" w:cs="宋体"/>
          <w:sz w:val="24"/>
          <w:szCs w:val="24"/>
        </w:rPr>
        <w:t>个月内。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雇佣：指作为全职员工加入甲方，以正式入职时间为准。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甲方：本款中的甲方，包括甲方的控股子公司、与甲方同属一个集团的关联公司。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候选人</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乙方向甲方提供的推荐服务应保密进行，甲方在收到乙方推荐的候选人资料后不得转推荐给任何第三方（甲方下属公司除外）。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在收到符合要求的乙方推荐的候选人资料后，如发现该人及其资料与甲方自行或从其他渠道已获得的资料重合或相同时，甲方应在收到该候选人资料后的三个工作日内书面通知乙方，乙方对该候选人的推荐被视为无效，否则即视为乙方推荐的有效候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未经甲方的事先书面同意，乙方同意不会为其自身利益或任何第三方利益雇佣甲方员工或以其他任何方式引诱甲方员工离职。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服务费用</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服务费用标准为：被雇佣的候选人的受雇首年年薪的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年薪包括：体现在雇佣/劳动合同上的壹拾贰个月的基本工资、第一年度的承诺奖金，签约即获的限制性股票奖励（分年授予的只核算第一年，折合现金计算）。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年薪不包括：补偿性质现金收入、报销性质的款项。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如果甲方正式雇佣了乙方就有关职位推荐的有效候选人，甲方将通知乙方并向乙方支付全额猎头服务费用。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首笔款项：服务费用的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首笔款项支付时间：甲方在该被正式雇佣的候选人正式入职后及收到乙方发票后的十日内向乙方支付。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第二笔款项：服务费用的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第二笔款项支付时间：考察期满及收到乙方发票后的十日内向乙方支付；考察期内候选人离职的（无论何种原因），无需再支付此笔款项。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考察期为：经乙方推荐的候选人入职甲方后的六个月。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考察期内离职处理：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考察期内由于候选人的原因离职的，甲方应于该候选人正式离职之日起五日内书面通知乙方，此时，甲方有权选择乙方为甲方无偿推荐替代候选人，或要求乙方退还已经支付的全额猎头服务费用。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候选人的原因离职系指：非甲方过错导致的离职，包括候选人辞职、试用期不符合录用条件、候选人过错被解除等。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如果乙方向甲方提供的候选人信息不实，则甲方有权不再支付猎头服务费用（已经支付的乙方应予退回），并要求乙方支付相当于约定服务费用的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候选人信息不实指：候选人的基本身份信息、工作经历信息、教育经历信息、原单位离职原因等方面不实，或在受过刑事处罚、存在竞业限制等方面原因未主动披露。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在本协议期间，因甲方需要进行异地面试的，且甲方事先同意报销差旅费用的，乙方应在候选人发生费用之前通知候选人，并向其告知甲方的费用标准和报销政策。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除前述第三条及本条约定的费用外，除非双方另有约定，甲方不承担任何其他费用。甲乙双方应自行承担因签署和履行本协议而各自发生的其他费用和税费。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履行本合同中可能被乙方或乙方人员知晓的关于甲方的业务信息、文件、资料、数据或者客户，包括但不限于本协议的存在及其条款，在本协议中都应被认为是甲方的商业秘密，未经甲方事先的书面同意，乙方不能使用，也不能在本协议履行期间或终止之后的任何时候对外传播或者泄漏给本协议以外的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未经甲方事先书面同意，乙方不得以任何形式向本协议以外的第三方告知、宣传或暗示：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乙方于本协议项下所提供的服务及其内容；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乙方系甲方的供应商、服务提供者；也不得以任何形式使用甲方的标识、名称；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甲方同意在没有与乙方协商之前不独立对候选人进行背景调查。乙方应当提供候选人评估和背景调查所需信息。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本合同有效期为合同签订后</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有效期定义：有效期内，乙方向甲方推荐甲方需要的候选人的，按本合同约定支付服务费用；超过有效期后，乙方向甲方推荐候选人的，无需支付服务费用，除非双方另有约定。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本协议的任何补充或修订需经双方以书面形式书就并签署方为有效。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本协议适用中国法律并按中国法律解释。甲乙双方同意，由本协议引起的或与本协议有关的任何争议应由双方友好协商解决。如果争议无法通过协商解决，双方同意将争议提交甲方所在地有管辖权的法院管辖。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本协议经双方授权代表签字或盖章生效。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本合同一式两份，甲乙双方各执一份，每份具有同等法律效力。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附件：职位需求登记表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（此处为填写示例，请根据实际需求填写。）</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02"/>
        <w:gridCol w:w="1496"/>
        <w:gridCol w:w="1838"/>
        <w:gridCol w:w="2538"/>
        <w:gridCol w:w="1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一、公司资料基本情况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全称</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衡州润嘉投资开发有限公司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网址</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衡州机场大道391号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企业性质</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房地产开发</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成立时间</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注册资金</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1.2亿</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固定资产</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年销售额</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占地面积</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员工人数</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企业简介</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产品和服务概况</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二、工作联络人（招聘负责人及用人部门对接人）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4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办公固话</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邮件地址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张作</w:t>
            </w:r>
          </w:p>
        </w:tc>
        <w:tc>
          <w:tcPr>
            <w:tcW w:w="14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人事负责人</w:t>
            </w:r>
          </w:p>
        </w:tc>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三、委托职位要求及条件（多岗位可直接复制此部分）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委托职位全称</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物业公司（运营公司）总经理</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需求人数</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直接汇报对象</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董事长</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所辖人数</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基本月/年薪</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30-100W</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奖金情况</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五险一金</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缴纳比例</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食宿福利</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提供住宿</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交通、通讯福利</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上班时间</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单休，周日休息</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工作详细地点</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衡州龙湾区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需求原因</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已进行招聘时长</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已使用的招聘渠道</w:t>
            </w:r>
          </w:p>
        </w:tc>
        <w:tc>
          <w:tcPr>
            <w:tcW w:w="333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招聘中遇到的问题</w:t>
            </w:r>
          </w:p>
        </w:tc>
        <w:tc>
          <w:tcPr>
            <w:tcW w:w="192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工作职责</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物业管理公司前期组建与规划、组织架构搭建、公司与团队建设；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贯彻公司董事长的指令，全面负责并统筹衡州国际机电城物业公司（专业市场）的管理服务工作，确保物业公司正常、良好运行，对公司及董事长直接负责。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制定物业各项规章制度、实施细则和操作程序提出修改意见；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全面对物业公司实施一体化综合管理，确保各项管理服务工作的质量；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负责制定物业公司发展战略，对物业公司形象、品牌等进行统一规划、宣传、监督、指导等；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负责各部门管理人员的招聘、选拔、培训、考核工作；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建立与政府主管部门的友好关系，协调本部门与总部及公司各部门的关系；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完成董事长赋予的其他任务或工作。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整个衡州国际机电城运营公司包括物业公司，招商策划运营公司等的管理。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10.后期电子商务平台的搭建，成立电子商务公司。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任职资格</w:t>
            </w:r>
          </w:p>
        </w:tc>
        <w:tc>
          <w:tcPr>
            <w:tcW w:w="14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任职要求</w:t>
            </w:r>
          </w:p>
        </w:tc>
        <w:tc>
          <w:tcPr>
            <w:tcW w:w="630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50岁以下，具备中级以上专业技术职称或物业经理上岗证；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5年以上物业管理相关工作经验，3年以上大型专业市场物业管理工作经验；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具有丰富的企业管理经验，善于根据市场变化、客户需求，制定项目经营管理策略；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熟悉国家有关物业管理行业发展的各项政策，了解经济法、民法典、民法典等相关法律知识及税务、工商政策，全面掌握国内外物业管理发展态势及先进的物业管理模式，熟悉物业公司运作方式；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隐性要求</w:t>
            </w:r>
          </w:p>
        </w:tc>
        <w:tc>
          <w:tcPr>
            <w:tcW w:w="630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期望最佳来源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（同行公司名称或直接某个人）</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必须是全国一些大型专业五金机电市场的运营公司总经理或副总经理，比如成都万贯五金机电市场，贵州开明城，武汉和广州地区的机电市场等。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再其次全国专业的不锈钢或者五金机电市场运营公司总经理或副总经理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期望到职时间</w:t>
            </w:r>
          </w:p>
        </w:tc>
        <w:tc>
          <w:tcPr>
            <w:tcW w:w="7798"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5月低</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“衡州润嘉投资开发有限公司”经衡州市工商局龙湾分局注册成立。公司注册资金：1.2亿元人民币。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衡州润嘉投资开发有限公司”，是由总部设在四川成都的“嘉园控股有限公司”“四川金安正泰高压电力设备有限公司”联合投资成立的股份制企业，公司现有工程、经济、财务、策划营销等各类专业技术人员30多人，公司的中、高层管理人员都是具有丰富的专业知识、工作经验和饱满工作精神的社会精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润嘉投资开发有限公司”是一家专注于商业地产开发和市场运营管理的投资公司。由“衡州润嘉投资开发有限公司”倾力打造的“衡州国际机电城”座落在衡州空港新区核心地带，紧靠衡州龙湾国际机场。“衡州空港新区”南临国家级的“衡州经济技术开发区滨海工业园区”，西接国家级“高新工业园区”，北挽省级瓯江口高端工业园区，正在崛起的瓯飞产业园区紧邻其边，多个工业园区成熊抱之势。“衡州国际机电城”项目一、二期投资超十二亿，规划用地230亩，建筑面积20多万平方米。作为在外温商回乡投资的重点项目、浙江省411重点工程、衡州市重大招商引资项目及省、市、区三级政府重点扶持工程，建成后将成为衡州首个集市场交易、产品展示、仓储物流、办公商务（电子商务）及配套服务等功能于一体的大型现代化五金机电专业市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国际机电城”雄居龙湾国际机场出口，城市高端黄金口岸，接驳滨海大道、机场大道、瓯海大道、衡州大道、瓯江路及市域铁路S1线站点，座拥机场、城市快速路、甬台温高速复线、铁路、港口五大交通主线，拥有得天独厚的交通区位优势。作为衡州地区最大的五金机电产品集散地，产业创新型的大型商品交易中心，“衡州国际机电城”定位为国内、国际一流的专业市场。近期目标为浙南闽北商区的商客提供机电交易服务平台，中后期目标为华东、华南及国内、国际市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衡州国际机电城”采用国内、国际先进的设计理念，城内交通流畅，商业气息浓郁，电子商务、仓储物流、宾馆餐饮一应俱全。有清澈见底的景观河，有古色古香的游步桥，有恬静休闲的柳荫河廊。城外更有绿化景观公园、公共停车场、环保公厕等配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未来“衡州国际机电城”项目的落地建成，在推进衡州五金机电产业转型升级的过程中发挥重大作用。它必将成为衡州市政府发展实体经济的典范事例、助力衡州企业转型升级的样板工程。它将成功改善五金机电经营商家的经营环境，提高商家的销售业绩和品牌效应，有效降低商家的流通和经营成本，庞大的客流将辐射整个浙南闽北地区乃至国内外，对提升整个衡州地区的五金机电产品产业效应及促进区域经济发展提速，必将起到巨大的推动作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 w:val="FFF7A1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2020-04-07T13:43:12Z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