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36" w:rsidRPr="005540C8" w:rsidRDefault="00036636" w:rsidP="00036636">
      <w:pPr>
        <w:pStyle w:val="3"/>
      </w:pPr>
      <w:bookmarkStart w:id="0" w:name="_GoBack"/>
      <w:r w:rsidRPr="005540C8">
        <w:rPr>
          <w:rFonts w:hint="eastAsia"/>
        </w:rPr>
        <w:t>专业合作社及合作社农户生猪订购合同[畜禽类]</w:t>
      </w:r>
    </w:p>
    <w:bookmarkEnd w:id="0"/>
    <w:p w:rsidR="00036636" w:rsidRPr="005540C8" w:rsidRDefault="00036636" w:rsidP="00E1255A">
      <w:pPr>
        <w:pStyle w:val="a9"/>
        <w:spacing w:beforeLines="100" w:before="312" w:beforeAutospacing="0" w:after="0" w:afterAutospacing="0"/>
        <w:jc w:val="right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合同编号____________</w:t>
      </w:r>
    </w:p>
    <w:p w:rsidR="00036636" w:rsidRPr="005540C8" w:rsidRDefault="00036636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签订地点____________</w:t>
      </w:r>
    </w:p>
    <w:p w:rsidR="00036636" w:rsidRPr="005540C8" w:rsidRDefault="00036636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签订时间____________</w:t>
      </w:r>
    </w:p>
    <w:p w:rsidR="00036636" w:rsidRPr="005540C8" w:rsidRDefault="00036636" w:rsidP="00E1255A">
      <w:pPr>
        <w:spacing w:beforeLines="100" w:before="312" w:line="360" w:lineRule="auto"/>
        <w:ind w:firstLineChars="240" w:firstLine="576"/>
        <w:rPr>
          <w:rFonts w:ascii="宋体" w:hAnsi="宋体" w:cs="宋体"/>
          <w:bCs/>
          <w:kern w:val="0"/>
          <w:sz w:val="24"/>
        </w:rPr>
      </w:pPr>
      <w:r w:rsidRPr="005540C8">
        <w:rPr>
          <w:rFonts w:ascii="宋体" w:hAnsi="宋体" w:cs="宋体" w:hint="eastAsia"/>
          <w:bCs/>
          <w:kern w:val="0"/>
          <w:sz w:val="24"/>
        </w:rPr>
        <w:t>订购方</w:t>
      </w:r>
      <w:r w:rsidRPr="005540C8">
        <w:rPr>
          <w:rFonts w:ascii="宋体" w:hAnsi="宋体" w:cs="宋体" w:hint="eastAsia"/>
          <w:bCs/>
          <w:kern w:val="0"/>
          <w:sz w:val="24"/>
        </w:rPr>
        <w:t>(</w:t>
      </w:r>
      <w:r w:rsidRPr="005540C8">
        <w:rPr>
          <w:rFonts w:ascii="宋体" w:hAnsi="宋体" w:cs="宋体" w:hint="eastAsia"/>
          <w:bCs/>
          <w:kern w:val="0"/>
          <w:sz w:val="24"/>
        </w:rPr>
        <w:t>甲方</w:t>
      </w:r>
      <w:r w:rsidRPr="005540C8">
        <w:rPr>
          <w:rFonts w:ascii="宋体" w:hAnsi="宋体" w:cs="宋体" w:hint="eastAsia"/>
          <w:bCs/>
          <w:kern w:val="0"/>
          <w:sz w:val="24"/>
        </w:rPr>
        <w:t>)</w:t>
      </w:r>
      <w:r w:rsidRPr="005540C8">
        <w:rPr>
          <w:rFonts w:ascii="宋体" w:hAnsi="宋体" w:cs="宋体" w:hint="eastAsia"/>
          <w:bCs/>
          <w:kern w:val="0"/>
          <w:sz w:val="24"/>
        </w:rPr>
        <w:t>：</w:t>
      </w:r>
      <w:r w:rsidRPr="005540C8">
        <w:rPr>
          <w:rFonts w:ascii="宋体" w:hAnsi="宋体" w:cs="宋体" w:hint="eastAsia"/>
          <w:bCs/>
          <w:sz w:val="24"/>
        </w:rPr>
        <w:t>____________________________</w:t>
      </w:r>
    </w:p>
    <w:p w:rsidR="00036636" w:rsidRPr="005540C8" w:rsidRDefault="00036636">
      <w:pPr>
        <w:pStyle w:val="a9"/>
        <w:spacing w:before="0" w:beforeAutospacing="0" w:after="0" w:afterAutospacing="0"/>
        <w:ind w:firstLineChars="240" w:firstLine="576"/>
        <w:rPr>
          <w:sz w:val="24"/>
          <w:szCs w:val="24"/>
        </w:rPr>
      </w:pPr>
      <w:r w:rsidRPr="005540C8">
        <w:rPr>
          <w:rFonts w:hint="eastAsia"/>
          <w:bCs/>
          <w:sz w:val="24"/>
          <w:szCs w:val="24"/>
        </w:rPr>
        <w:t>合作社农户姓名：__________________________</w:t>
      </w:r>
    </w:p>
    <w:p w:rsidR="00036636" w:rsidRPr="005540C8" w:rsidRDefault="00036636" w:rsidP="00E1255A">
      <w:pPr>
        <w:pStyle w:val="a9"/>
        <w:spacing w:beforeLines="100" w:before="312" w:beforeAutospacing="0" w:after="0" w:afterAutospacing="0"/>
        <w:ind w:firstLineChars="250" w:firstLine="600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为了促进专业合作社及合作社农户的发展，更好地维护甲、乙双方合法权益，根据《中华人民共和国民法典》及其它有关法律法规的规定，甲乙双方在自愿、公平、诚实信用的基础上，经双方协商，就生猪订购有关事宜签订合同如下,以便双方共同遵守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6"/>
        <w:rPr>
          <w:b/>
          <w:sz w:val="24"/>
          <w:szCs w:val="24"/>
        </w:rPr>
      </w:pPr>
      <w:r w:rsidRPr="005540C8">
        <w:rPr>
          <w:rFonts w:hint="eastAsia"/>
          <w:b/>
          <w:sz w:val="24"/>
          <w:szCs w:val="24"/>
        </w:rPr>
        <w:t>第一条  订购、数量、保护价及交（提）货时间：</w:t>
      </w:r>
    </w:p>
    <w:p w:rsidR="00036636" w:rsidRPr="005540C8" w:rsidRDefault="00036636">
      <w:pPr>
        <w:pStyle w:val="a9"/>
        <w:spacing w:before="0" w:beforeAutospacing="0" w:after="0" w:afterAutospacing="0"/>
        <w:ind w:firstLineChars="240" w:firstLine="576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1、订购产品为---生猪。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4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2、订购数量为______吨。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4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3、约定保护价_________元/公斤。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4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4、交货时间大约在______月______日左右。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第二条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质量要求：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生猪的品种等级和质量，按照国家标准执行。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第三条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交货方式及验收方法：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1</w:t>
      </w:r>
      <w:r w:rsidRPr="005540C8">
        <w:rPr>
          <w:rFonts w:ascii="宋体" w:hAnsi="宋体" w:cs="宋体" w:hint="eastAsia"/>
          <w:kern w:val="0"/>
          <w:sz w:val="24"/>
        </w:rPr>
        <w:t>、甲、乙双方应按合同规定的时间将前往乙方所在地验收生猪，交货日期以收到货物为准；以接收地点为验收地点。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、验收方法：</w:t>
      </w:r>
      <w:r w:rsidRPr="005540C8">
        <w:rPr>
          <w:rFonts w:ascii="宋体" w:hAnsi="宋体" w:cs="宋体" w:hint="eastAsia"/>
          <w:kern w:val="0"/>
          <w:sz w:val="24"/>
        </w:rPr>
        <w:t xml:space="preserve"> </w:t>
      </w:r>
      <w:r w:rsidRPr="005540C8">
        <w:rPr>
          <w:rFonts w:ascii="宋体" w:hAnsi="宋体" w:cs="宋体" w:hint="eastAsia"/>
          <w:kern w:val="0"/>
          <w:sz w:val="24"/>
        </w:rPr>
        <w:t>甲方验应按照国家标准验收，验收人员要本着方便、快捷、热情的原则，必须在</w:t>
      </w: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个小时验收完毕。在验收中对产量质量发生争议，交质量监督检验机构裁决。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lastRenderedPageBreak/>
        <w:t>第四条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收购价格及付款方式：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市场价高于保护价时，甲方按当地市场价收购；低于当地市场价，甲方以保护价收购（仅限于双方约定数量）。货款结算方式，乙方交售的生猪经验收合格后，甲方应当及时以现金向乙方支付货款（先付款后提货）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第五条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乙方的违约责任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1</w:t>
      </w:r>
      <w:r w:rsidRPr="005540C8">
        <w:rPr>
          <w:rFonts w:ascii="宋体" w:hAnsi="宋体" w:cs="宋体" w:hint="eastAsia"/>
          <w:kern w:val="0"/>
          <w:sz w:val="24"/>
        </w:rPr>
        <w:t>、乙方交货数量少于合同的规定而甲方仍然需要的，以及供方逾期交货而甲方仍需要的，应照数补交，乙方并应比照人民银行有关延期付款的规定，按逾期交货部分货款总值计算，向甲方偿付逾期交货的违约金；乙方超过规定期限不能交货的，应偿付甲方不能交货部分货总值</w:t>
      </w:r>
      <w:r w:rsidRPr="005540C8">
        <w:rPr>
          <w:rFonts w:ascii="宋体" w:hAnsi="宋体" w:cs="宋体" w:hint="eastAsia"/>
          <w:kern w:val="0"/>
          <w:sz w:val="24"/>
        </w:rPr>
        <w:t>5%</w:t>
      </w:r>
      <w:r w:rsidRPr="005540C8">
        <w:rPr>
          <w:rFonts w:ascii="宋体" w:hAnsi="宋体" w:cs="宋体" w:hint="eastAsia"/>
          <w:kern w:val="0"/>
          <w:sz w:val="24"/>
        </w:rPr>
        <w:t>的违约金；因逾期交货，甲方不再需要的，由乙方自行处理，并向甲方偿付该部分货款总值</w:t>
      </w:r>
      <w:r w:rsidRPr="005540C8">
        <w:rPr>
          <w:rFonts w:ascii="宋体" w:hAnsi="宋体" w:cs="宋体" w:hint="eastAsia"/>
          <w:kern w:val="0"/>
          <w:sz w:val="24"/>
        </w:rPr>
        <w:t>5%</w:t>
      </w:r>
      <w:r w:rsidRPr="005540C8">
        <w:rPr>
          <w:rFonts w:ascii="宋体" w:hAnsi="宋体" w:cs="宋体" w:hint="eastAsia"/>
          <w:kern w:val="0"/>
          <w:sz w:val="24"/>
        </w:rPr>
        <w:t>的违约金。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、乙方如因违约自销或因套取超购加价款而不履行合同时，应向甲方偿付不履行合同部分货款总值</w:t>
      </w:r>
      <w:r w:rsidRPr="005540C8">
        <w:rPr>
          <w:rFonts w:ascii="宋体" w:hAnsi="宋体" w:cs="宋体" w:hint="eastAsia"/>
          <w:kern w:val="0"/>
          <w:sz w:val="24"/>
        </w:rPr>
        <w:t>20%</w:t>
      </w:r>
      <w:r w:rsidRPr="005540C8">
        <w:rPr>
          <w:rFonts w:ascii="宋体" w:hAnsi="宋体" w:cs="宋体" w:hint="eastAsia"/>
          <w:kern w:val="0"/>
          <w:sz w:val="24"/>
        </w:rPr>
        <w:t>的违约金，并退回套取的加价款和奖售、换购的物资；乙方违约自销多得的收入，由工商行政管理部门没收上交国家财政。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3</w:t>
      </w:r>
      <w:r w:rsidRPr="005540C8">
        <w:rPr>
          <w:rFonts w:ascii="宋体" w:hAnsi="宋体" w:cs="宋体" w:hint="eastAsia"/>
          <w:kern w:val="0"/>
          <w:sz w:val="24"/>
        </w:rPr>
        <w:t>、乙方在交售生猪不符合质量要求的，甲方有权拒收，乙方同时应向甲方偿付该批货款总值</w:t>
      </w:r>
      <w:r w:rsidRPr="005540C8">
        <w:rPr>
          <w:rFonts w:ascii="宋体" w:hAnsi="宋体" w:cs="宋体" w:hint="eastAsia"/>
          <w:kern w:val="0"/>
          <w:sz w:val="24"/>
        </w:rPr>
        <w:t>10%</w:t>
      </w:r>
      <w:r w:rsidRPr="005540C8">
        <w:rPr>
          <w:rFonts w:ascii="宋体" w:hAnsi="宋体" w:cs="宋体" w:hint="eastAsia"/>
          <w:kern w:val="0"/>
          <w:sz w:val="24"/>
        </w:rPr>
        <w:t>的违约金。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4</w:t>
      </w:r>
      <w:r w:rsidRPr="005540C8">
        <w:rPr>
          <w:rFonts w:ascii="宋体" w:hAnsi="宋体" w:cs="宋体" w:hint="eastAsia"/>
          <w:kern w:val="0"/>
          <w:sz w:val="24"/>
        </w:rPr>
        <w:t>、甲方按乙方通知的时间、地点提货而未到货的，乙方应负逾期交货的违约责任，并承担甲方因此而支付的实际费用。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5</w:t>
      </w:r>
      <w:r w:rsidRPr="005540C8">
        <w:rPr>
          <w:rFonts w:ascii="宋体" w:hAnsi="宋体" w:cs="宋体" w:hint="eastAsia"/>
          <w:kern w:val="0"/>
          <w:sz w:val="24"/>
        </w:rPr>
        <w:t>、甲方根据乙方的要求预付定金（定金不得超过价款的</w:t>
      </w:r>
      <w:r w:rsidRPr="005540C8">
        <w:rPr>
          <w:rFonts w:ascii="宋体" w:hAnsi="宋体" w:cs="宋体" w:hint="eastAsia"/>
          <w:kern w:val="0"/>
          <w:sz w:val="24"/>
        </w:rPr>
        <w:t>20%</w:t>
      </w:r>
      <w:r w:rsidRPr="005540C8">
        <w:rPr>
          <w:rFonts w:ascii="宋体" w:hAnsi="宋体" w:cs="宋体" w:hint="eastAsia"/>
          <w:kern w:val="0"/>
          <w:sz w:val="24"/>
        </w:rPr>
        <w:t>）的，供方在不履行或不完全履行合同时，应加倍偿还。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6</w:t>
      </w:r>
      <w:r w:rsidRPr="005540C8">
        <w:rPr>
          <w:rFonts w:ascii="宋体" w:hAnsi="宋体" w:cs="宋体" w:hint="eastAsia"/>
          <w:kern w:val="0"/>
          <w:sz w:val="24"/>
        </w:rPr>
        <w:t>、乙方在接到甲方验收产品提出的书面异议后，应在</w:t>
      </w:r>
      <w:r w:rsidRPr="005540C8">
        <w:rPr>
          <w:rFonts w:ascii="宋体" w:hAnsi="宋体" w:cs="宋体" w:hint="eastAsia"/>
          <w:kern w:val="0"/>
          <w:sz w:val="24"/>
        </w:rPr>
        <w:t>15</w:t>
      </w:r>
      <w:r w:rsidRPr="005540C8">
        <w:rPr>
          <w:rFonts w:ascii="宋体" w:hAnsi="宋体" w:cs="宋体" w:hint="eastAsia"/>
          <w:kern w:val="0"/>
          <w:sz w:val="24"/>
        </w:rPr>
        <w:t>天内做出处理，如乙方未按时处理，可视为默认。</w:t>
      </w:r>
    </w:p>
    <w:p w:rsidR="00036636" w:rsidRPr="005540C8" w:rsidRDefault="00036636">
      <w:pPr>
        <w:spacing w:line="360" w:lineRule="auto"/>
        <w:ind w:firstLineChars="196" w:firstLine="470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第六条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甲方的违约责任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lastRenderedPageBreak/>
        <w:t>1</w:t>
      </w:r>
      <w:r w:rsidRPr="005540C8">
        <w:rPr>
          <w:rFonts w:ascii="宋体" w:hAnsi="宋体" w:cs="宋体" w:hint="eastAsia"/>
          <w:kern w:val="0"/>
          <w:sz w:val="24"/>
        </w:rPr>
        <w:t>、甲方在合同执行中退货的，应偿付乙方退货部分货款总值</w:t>
      </w:r>
      <w:r w:rsidRPr="005540C8">
        <w:rPr>
          <w:rFonts w:ascii="宋体" w:hAnsi="宋体" w:cs="宋体" w:hint="eastAsia"/>
          <w:kern w:val="0"/>
          <w:sz w:val="24"/>
        </w:rPr>
        <w:t>10%</w:t>
      </w:r>
      <w:r w:rsidRPr="005540C8">
        <w:rPr>
          <w:rFonts w:ascii="宋体" w:hAnsi="宋体" w:cs="宋体" w:hint="eastAsia"/>
          <w:kern w:val="0"/>
          <w:sz w:val="24"/>
        </w:rPr>
        <w:t>的违约金。因此造成乙方损失的，还应根据市场价赔偿其损失。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、甲方无故拒收应向乙方偿付被拒收货款总值</w:t>
      </w:r>
      <w:r w:rsidRPr="005540C8">
        <w:rPr>
          <w:rFonts w:ascii="宋体" w:hAnsi="宋体" w:cs="宋体" w:hint="eastAsia"/>
          <w:kern w:val="0"/>
          <w:sz w:val="24"/>
        </w:rPr>
        <w:t>10%</w:t>
      </w:r>
      <w:r w:rsidRPr="005540C8">
        <w:rPr>
          <w:rFonts w:ascii="宋体" w:hAnsi="宋体" w:cs="宋体" w:hint="eastAsia"/>
          <w:kern w:val="0"/>
          <w:sz w:val="24"/>
        </w:rPr>
        <w:t>的违约金，并承担因此而造成的损失和费用。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3</w:t>
      </w:r>
      <w:r w:rsidRPr="005540C8">
        <w:rPr>
          <w:rFonts w:ascii="宋体" w:hAnsi="宋体" w:cs="宋体" w:hint="eastAsia"/>
          <w:kern w:val="0"/>
          <w:sz w:val="24"/>
        </w:rPr>
        <w:t>、按合同规定提货的生猪，乙方通知提货而逾期提货的，除比照银行有关延期付款的规定，按逾期提货（收购）部分货款总值计算偿付违约金以外，还应承担乙方在此期间所支付的保管费或饲养费，并承担因此而造成的其他实际损失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4</w:t>
      </w:r>
      <w:r w:rsidRPr="005540C8">
        <w:rPr>
          <w:rFonts w:ascii="宋体" w:hAnsi="宋体" w:cs="宋体" w:hint="eastAsia"/>
          <w:kern w:val="0"/>
          <w:sz w:val="24"/>
        </w:rPr>
        <w:t>、甲方未按合同规定的期限付款的，应按银行有关延期付款的规定，向乙方偿付延期付款的</w:t>
      </w:r>
      <w:r w:rsidRPr="005540C8">
        <w:rPr>
          <w:rFonts w:ascii="宋体" w:hAnsi="宋体" w:cs="宋体" w:hint="eastAsia"/>
          <w:kern w:val="0"/>
          <w:sz w:val="24"/>
        </w:rPr>
        <w:t>___%</w:t>
      </w:r>
      <w:r w:rsidRPr="005540C8">
        <w:rPr>
          <w:rFonts w:ascii="宋体" w:hAnsi="宋体" w:cs="宋体" w:hint="eastAsia"/>
          <w:kern w:val="0"/>
          <w:sz w:val="24"/>
        </w:rPr>
        <w:t>违约金。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5</w:t>
      </w:r>
      <w:r w:rsidRPr="005540C8">
        <w:rPr>
          <w:rFonts w:ascii="宋体" w:hAnsi="宋体" w:cs="宋体" w:hint="eastAsia"/>
          <w:kern w:val="0"/>
          <w:sz w:val="24"/>
        </w:rPr>
        <w:t>、甲方如向乙方预付定金的，在不履行或不完全履行预购合同时，无权收回未履行部分的预付定金。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6</w:t>
      </w:r>
      <w:r w:rsidRPr="005540C8">
        <w:rPr>
          <w:rFonts w:ascii="宋体" w:hAnsi="宋体" w:cs="宋体" w:hint="eastAsia"/>
          <w:kern w:val="0"/>
          <w:sz w:val="24"/>
        </w:rPr>
        <w:t>、甲方必须承担因错填或临时改变到货地点而多支付的一切费用。甲方在合同规定的验收期限内，未进行验收或验收后未在规定期限内提出异议，视为默认。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7</w:t>
      </w:r>
      <w:r w:rsidRPr="005540C8">
        <w:rPr>
          <w:rFonts w:ascii="宋体" w:hAnsi="宋体" w:cs="宋体" w:hint="eastAsia"/>
          <w:kern w:val="0"/>
          <w:sz w:val="24"/>
        </w:rPr>
        <w:t>、在合同规定的验收期限内，未进行验收或进行验收后未提出质量异议的，即视为默认符合规定。对于提出质量异议或因其他原因拒收，应负责妥善保管，等候处理，不得动用。一经动用即视为接收，甲方应按期向乙方付款，如不按期付款，则按延期付款处理。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第七条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不可抗力：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合同履行期内如发生自然灾害等其它不可抗力的原因，致使当事人一方不能履行，应向对方当事人及时通报理由，经有关主管部门证实后，可允许延期履行、部分履行或不履行，并可根据情况部分或全部免予承担违约责任。如果</w:t>
      </w:r>
      <w:r w:rsidRPr="005540C8">
        <w:rPr>
          <w:rFonts w:ascii="宋体" w:hAnsi="宋体" w:cs="宋体" w:hint="eastAsia"/>
          <w:kern w:val="0"/>
          <w:sz w:val="24"/>
        </w:rPr>
        <w:lastRenderedPageBreak/>
        <w:t>由于不可抗力造成产品质量不符合合同规定的，不以违约论。对这些产品的处理办法，可由双方协商决定。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第八条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合同的变更与解除</w:t>
      </w:r>
    </w:p>
    <w:p w:rsidR="00036636" w:rsidRPr="005540C8" w:rsidRDefault="00036636">
      <w:pPr>
        <w:tabs>
          <w:tab w:val="left" w:pos="360"/>
        </w:tabs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甲乙双方任何一方要求变更或解除合同时，应及时通知对方，并采用书面形式由双方达成协议。未达成协议以前，原合仍有效，当事人一方接到另一方要求变更或解除合同的建议后，应在收到通知起</w:t>
      </w:r>
      <w:r w:rsidRPr="005540C8">
        <w:rPr>
          <w:rFonts w:ascii="宋体" w:hAnsi="宋体" w:cs="宋体" w:hint="eastAsia"/>
          <w:kern w:val="0"/>
          <w:sz w:val="24"/>
        </w:rPr>
        <w:t>15</w:t>
      </w:r>
      <w:r w:rsidRPr="005540C8">
        <w:rPr>
          <w:rFonts w:ascii="宋体" w:hAnsi="宋体" w:cs="宋体" w:hint="eastAsia"/>
          <w:kern w:val="0"/>
          <w:sz w:val="24"/>
        </w:rPr>
        <w:t>天内做出答复，当事人双方另有约定的，按约定的期限答复，逾期不做答复的，即为默认。</w:t>
      </w:r>
    </w:p>
    <w:p w:rsidR="00036636" w:rsidRPr="005540C8" w:rsidRDefault="00036636">
      <w:pPr>
        <w:tabs>
          <w:tab w:val="left" w:pos="360"/>
        </w:tabs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第九条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合同争议解决方式</w:t>
      </w:r>
      <w:r w:rsidRPr="005540C8">
        <w:rPr>
          <w:rFonts w:ascii="宋体" w:hAnsi="宋体" w:cs="宋体" w:hint="eastAsia"/>
          <w:kern w:val="0"/>
          <w:sz w:val="24"/>
        </w:rPr>
        <w:t>：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本合同在履行过程中发生争议，由当事人双方协商解决，也可以申请向主管部门或工商部门调解，调解不成的，按下列第</w:t>
      </w:r>
      <w:r w:rsidRPr="005540C8">
        <w:rPr>
          <w:rFonts w:hint="eastAsia"/>
          <w:sz w:val="24"/>
        </w:rPr>
        <w:t>______</w:t>
      </w:r>
      <w:r w:rsidRPr="005540C8">
        <w:rPr>
          <w:rFonts w:ascii="宋体" w:hAnsi="宋体" w:cs="宋体" w:hint="eastAsia"/>
          <w:kern w:val="0"/>
          <w:sz w:val="24"/>
        </w:rPr>
        <w:t>种方式解决：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（一）提交</w:t>
      </w:r>
      <w:r w:rsidRPr="005540C8">
        <w:rPr>
          <w:rFonts w:hint="eastAsia"/>
          <w:sz w:val="24"/>
        </w:rPr>
        <w:t>____________</w:t>
      </w:r>
      <w:r w:rsidRPr="005540C8">
        <w:rPr>
          <w:rFonts w:ascii="宋体" w:hAnsi="宋体" w:cs="宋体" w:hint="eastAsia"/>
          <w:kern w:val="0"/>
          <w:sz w:val="24"/>
        </w:rPr>
        <w:t>仲裁委员会仲裁；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（二）依法向</w:t>
      </w:r>
      <w:r w:rsidRPr="005540C8">
        <w:rPr>
          <w:rFonts w:hint="eastAsia"/>
          <w:sz w:val="24"/>
        </w:rPr>
        <w:t>____________</w:t>
      </w:r>
      <w:r w:rsidRPr="005540C8">
        <w:rPr>
          <w:rFonts w:ascii="宋体" w:hAnsi="宋体" w:cs="宋体" w:hint="eastAsia"/>
          <w:kern w:val="0"/>
          <w:sz w:val="24"/>
        </w:rPr>
        <w:t>住所地人民法院提起诉讼。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第十条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其他约定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违约金或赔偿金，应在甲、乙双方商定的日期内或由有关部门确定责任后</w:t>
      </w:r>
      <w:r w:rsidRPr="005540C8">
        <w:rPr>
          <w:rFonts w:ascii="宋体" w:hAnsi="宋体" w:cs="宋体" w:hint="eastAsia"/>
          <w:kern w:val="0"/>
          <w:sz w:val="24"/>
        </w:rPr>
        <w:t>10</w:t>
      </w:r>
      <w:r w:rsidRPr="005540C8">
        <w:rPr>
          <w:rFonts w:ascii="宋体" w:hAnsi="宋体" w:cs="宋体" w:hint="eastAsia"/>
          <w:kern w:val="0"/>
          <w:sz w:val="24"/>
        </w:rPr>
        <w:t>天内偿付，否则，按逾期付款处理。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第十一条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kern w:val="0"/>
          <w:sz w:val="24"/>
        </w:rPr>
        <w:t>本合同一式两份，甲、乙双方各执一份，均具同等法律效力。</w:t>
      </w:r>
    </w:p>
    <w:p w:rsidR="00036636" w:rsidRPr="005540C8" w:rsidRDefault="00036636" w:rsidP="00E1255A">
      <w:pPr>
        <w:widowControl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本合同自双方签字并盖章（或手印）之日起生效。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46"/>
        <w:gridCol w:w="4060"/>
      </w:tblGrid>
      <w:tr w:rsidR="00036636" w:rsidRPr="005540C8" w:rsidTr="00333C2D">
        <w:trPr>
          <w:trHeight w:val="2286"/>
        </w:trPr>
        <w:tc>
          <w:tcPr>
            <w:tcW w:w="2556" w:type="pct"/>
            <w:tcBorders>
              <w:tl2br w:val="nil"/>
              <w:tr2bl w:val="nil"/>
            </w:tcBorders>
          </w:tcPr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合作社农户：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身份证：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住所：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电话：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444" w:type="pct"/>
            <w:tcBorders>
              <w:tl2br w:val="nil"/>
              <w:tr2bl w:val="nil"/>
            </w:tcBorders>
          </w:tcPr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专业合作社：（盖章）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住所：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电话：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法定代表人（签字）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或委托代理人（签字）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开户银行：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lastRenderedPageBreak/>
              <w:t>账号：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036636" w:rsidRPr="005540C8" w:rsidRDefault="00036636">
      <w:pPr>
        <w:spacing w:line="360" w:lineRule="auto"/>
        <w:rPr>
          <w:rFonts w:ascii="宋体" w:hAnsi="宋体" w:cs="宋体"/>
          <w:sz w:val="24"/>
        </w:rPr>
      </w:pPr>
    </w:p>
    <w:sectPr w:rsidR="00036636" w:rsidRPr="005540C8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036636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03663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036636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6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1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2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3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8"/>
  </w:num>
  <w:num w:numId="7">
    <w:abstractNumId w:val="15"/>
  </w:num>
  <w:num w:numId="8">
    <w:abstractNumId w:val="10"/>
  </w:num>
  <w:num w:numId="9">
    <w:abstractNumId w:val="0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36636"/>
    <w:rsid w:val="00043ACA"/>
    <w:rsid w:val="0009495F"/>
    <w:rsid w:val="001D0F48"/>
    <w:rsid w:val="00245349"/>
    <w:rsid w:val="00337567"/>
    <w:rsid w:val="003508FC"/>
    <w:rsid w:val="0048235F"/>
    <w:rsid w:val="00503314"/>
    <w:rsid w:val="00564BF2"/>
    <w:rsid w:val="00575042"/>
    <w:rsid w:val="005F3C71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2019-03-22T06:48:00Z</dcterms:created>
  <dcterms:modified xsi:type="dcterms:W3CDTF">2019-03-22T06:48:00Z</dcterms:modified>
</cp:coreProperties>
</file>