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泛光照明工程合同</w:t>
      </w:r>
    </w:p>
    <w:bookmarkEnd w:id="0"/>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w:t>
      </w:r>
      <w:r>
        <w:rPr>
          <w:rFonts w:hint="eastAsia" w:ascii="宋体" w:hAnsi="宋体" w:eastAsia="宋体" w:cs="宋体"/>
          <w:sz w:val="24"/>
          <w:szCs w:val="24"/>
          <w:u w:val="single"/>
        </w:rPr>
        <w:t>        </w:t>
      </w:r>
      <w:r>
        <w:rPr>
          <w:rFonts w:hint="eastAsia" w:ascii="宋体" w:hAnsi="宋体" w:eastAsia="宋体" w:cs="宋体"/>
          <w:sz w:val="24"/>
          <w:szCs w:val="24"/>
        </w:rPr>
        <w:t>（以下简称“甲方”）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w:t>
      </w:r>
      <w:r>
        <w:rPr>
          <w:rFonts w:hint="eastAsia" w:ascii="宋体" w:hAnsi="宋体" w:eastAsia="宋体" w:cs="宋体"/>
          <w:sz w:val="24"/>
          <w:szCs w:val="24"/>
          <w:u w:val="single"/>
        </w:rPr>
        <w:t>        </w:t>
      </w:r>
      <w:r>
        <w:rPr>
          <w:rFonts w:hint="eastAsia" w:ascii="宋体" w:hAnsi="宋体" w:eastAsia="宋体" w:cs="宋体"/>
          <w:sz w:val="24"/>
          <w:szCs w:val="24"/>
        </w:rPr>
        <w:t>（以下简称“乙方”）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二、承包范围、承包方式及内容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1.承包范围：</w:t>
      </w:r>
      <w:r>
        <w:rPr>
          <w:rFonts w:hint="eastAsia" w:ascii="宋体" w:hAnsi="宋体" w:eastAsia="宋体" w:cs="宋体"/>
          <w:sz w:val="24"/>
          <w:szCs w:val="24"/>
          <w:u w:val="single"/>
        </w:rPr>
        <w:t>        </w:t>
      </w:r>
      <w:r>
        <w:rPr>
          <w:rFonts w:hint="eastAsia" w:ascii="宋体" w:hAnsi="宋体" w:eastAsia="宋体" w:cs="宋体"/>
          <w:sz w:val="24"/>
          <w:szCs w:val="24"/>
        </w:rPr>
        <w:t>项目泛光照明工程。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2.承包方式：包工包料（包括但不限于：包深化设计、包机械设备、包质量、包工期、包安全、包文明施工、包验收等所有与本工程相关的一切工作内容）。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含深化设计，并依据设计图纸、工程规范，完成以下系统工程的材料设备供应、工程施工、竣工验收、取得地方及其他政府监督主管部门的验收合格文件、竣工资料整理汇总及提供、验收前成品保护、人员培训、维修保养、保修以及为完成全部泛光照明工程所需的其他内容和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泛光照明工程图纸范围内的灯具供应及安装、泛光照明配电箱的供应及安装、泛光照明控制系统的供应及安装、泛光照明工程的所有配管穿线、所有设备的吊装就位、装卸搬运、设备安装、调试验收等工作及达到甲方对效果的验收，以及完成所有资料的移交、工程质量保修和售后服务等的全部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（2）服从总承包方的管理。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（3）其他补充内容：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（1）总包单位工作内容：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A：完成配电机房，竖井及楼层的土建结构装饰施工（含设备基础）；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B：按施工图完成相关的预埋管线、出墙套管预埋、预留孔洞、预埋件施工；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C：箱上口至上级配电箱之间的电缆及管线预留预埋由总包施工；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D：提供施工用水、电及施工材料堆放间；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E：总包提供现有脚手架。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A：乙方需要搭建自用的脚手架或施工吊篮；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B：做好必要的成品保护措施；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C：灯具安装及安装完毕后底座与外墙间需做的防水处理；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D：负责泛光照明工程相关的一切所需的报批、备案、验收、交接等手续，费用包含在合同价款中；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E：与总包、机电分包、幕墙分包、园林景观分包的各项协调配合工作（如有）。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1.质量标准：详见专用条款。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2.本分包工程质量标准必须符合国家及地方标准和规范。若本分包合同中约定的任何工程质量标准与国家及地方标准有异，则按要求较高者执行。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3.处罚措施：未能一次性达到工程质量标准则按合同总价的</w:t>
      </w:r>
      <w:r>
        <w:rPr>
          <w:rFonts w:hint="eastAsia" w:ascii="宋体" w:hAnsi="宋体" w:eastAsia="宋体" w:cs="宋体"/>
          <w:sz w:val="24"/>
          <w:szCs w:val="24"/>
          <w:u w:val="single"/>
        </w:rPr>
        <w:t> 5% </w:t>
      </w:r>
      <w:r>
        <w:rPr>
          <w:rFonts w:hint="eastAsia" w:ascii="宋体" w:hAnsi="宋体" w:eastAsia="宋体" w:cs="宋体"/>
          <w:sz w:val="24"/>
          <w:szCs w:val="24"/>
        </w:rPr>
        <w:t>予以处罚。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1.合同计价形式：固定总价。合同固定总价人民币（大写）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包括但不限于深化设计、供货、安装、测试、验收及材料价之任何市场差价、管理费、综合费率、保险、利润和国家规定的应由乙方承担的任何收费、税金、必须的加班费、费率或汇率的变动、专利费、运输、货品迟到工地的窝工费等直至交付甲方正常使用的所有费用；本工程除发生变更外，原则上合同总价不再调整。如今后发生图纸变更，则按照变更前后的图纸对相应修改部位计算增减账，其余未修改的部位保持招标合同价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3.合同总价是指按照图纸、规范和合同文件要求而包干的完全价格。不论其对应的项目特征是否描述完全，都将被认为已包括实施对应项目所有工作内容及完成此工作内容而必须的各种辅助工作的费用。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4.具体合同价详见 “合同计价清单”；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5.措施费用，</w:t>
      </w:r>
      <w:r>
        <w:rPr>
          <w:rFonts w:hint="eastAsia" w:ascii="宋体" w:hAnsi="宋体" w:eastAsia="宋体" w:cs="宋体"/>
          <w:sz w:val="24"/>
          <w:szCs w:val="24"/>
          <w:u w:val="single"/>
        </w:rPr>
        <w:t>如临时设施费用、检测以及其他所有措施费用等视为已经包含在合同价款中</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6.总承包方的配合管理服务费：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已充分考虑政府行为的交通管制和停工要求，以及停电、停水、二次驳运、施工场地可能不足、成品保护等所需措施的设计、施工、安装、运行和维护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8.任何未列在工程量清单内而却是完成图纸内容必须的项目，其价款已被包含在其他已填报价款的项目中，今后不作调增，意即：任何的缺漏项的错误皆由乙方承担并视为已被双方接受。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（3）本合同图纸范围外的新增工作，按“工程变更价款的确定”的约定处理。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1.预付款：无。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2.进度款：每月按双方核定已完成工程量，支付至已完成产值的70%。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3.工程完工经发包方确认后，支付至合同总价的80%。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4.结算款：整体工程交付并且结算完成后，支付至结算总价款的95%。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5.保修款：结算总价的5%为保修款，自竣工验收合格日起预留两年，期满支付。保修期以保修协议书为准。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6.预付款及进度款支付前乙方应向甲方提供等额、合规、符合甲方要求的发票；结算款付款前乙方向甲方提供结算款全额发票（包含剩余5%质保金）否则甲方有权顺延付款且不承担任何责任。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w:t>
      </w:r>
      <w:r>
        <w:rPr>
          <w:rFonts w:hint="eastAsia" w:ascii="宋体" w:hAnsi="宋体" w:eastAsia="宋体" w:cs="宋体"/>
          <w:sz w:val="24"/>
          <w:szCs w:val="24"/>
          <w:u w:val="single"/>
        </w:rPr>
        <w:t>合同总价的5%</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元，履约保证金在</w:t>
      </w:r>
      <w:r>
        <w:rPr>
          <w:rFonts w:hint="eastAsia" w:ascii="宋体" w:hAnsi="宋体" w:eastAsia="宋体" w:cs="宋体"/>
          <w:sz w:val="24"/>
          <w:szCs w:val="24"/>
          <w:u w:val="single"/>
        </w:rPr>
        <w:t>竣工验收通过</w:t>
      </w:r>
      <w:r>
        <w:rPr>
          <w:rFonts w:hint="eastAsia" w:ascii="宋体" w:hAnsi="宋体" w:eastAsia="宋体" w:cs="宋体"/>
          <w:sz w:val="24"/>
          <w:szCs w:val="24"/>
        </w:rPr>
        <w:t>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八、质保要求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w:t>
      </w:r>
      <w:r>
        <w:rPr>
          <w:rFonts w:hint="eastAsia" w:ascii="宋体" w:hAnsi="宋体" w:eastAsia="宋体" w:cs="宋体"/>
          <w:sz w:val="24"/>
          <w:szCs w:val="24"/>
          <w:u w:val="single"/>
        </w:rPr>
        <w:t>10</w:t>
      </w:r>
      <w:r>
        <w:rPr>
          <w:rFonts w:hint="eastAsia" w:ascii="宋体" w:hAnsi="宋体" w:eastAsia="宋体" w:cs="宋体"/>
          <w:sz w:val="24"/>
          <w:szCs w:val="24"/>
        </w:rPr>
        <w:t>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1.合同订立时间：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2.合同订立地点：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3.合同份数：本合同一式捌份，甲方执陆份，乙方执贰份，盖章即生效。</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242"/>
        <w:gridCol w:w="37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24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tc>
        <w:tc>
          <w:tcPr>
            <w:tcW w:w="375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乙方应遵守工程建设安全生产有关管理规定，严格按安全标准组织施工，采取必要的安全防护措施，消除事故隐患，并随时接受行业安全检查人员依法实施的监督检查。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r>
        <w:rPr>
          <w:rStyle w:val="8"/>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1.计划工期具体节点（开工日期以甲方书面通知为准）：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4.总工期每拖期1天，从结算款中扣除结算总造价的</w:t>
      </w:r>
      <w:r>
        <w:rPr>
          <w:rFonts w:hint="eastAsia" w:ascii="宋体" w:hAnsi="宋体" w:eastAsia="宋体" w:cs="宋体"/>
          <w:sz w:val="24"/>
          <w:szCs w:val="24"/>
          <w:u w:val="single"/>
        </w:rPr>
        <w:t>1</w:t>
      </w:r>
      <w:r>
        <w:rPr>
          <w:rFonts w:hint="eastAsia" w:ascii="宋体" w:hAnsi="宋体" w:eastAsia="宋体" w:cs="宋体"/>
          <w:sz w:val="24"/>
          <w:szCs w:val="24"/>
        </w:rPr>
        <w:t>%，超过15天甲方有权解除合同；若影响总包工程进度，则应承担相应责任。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5.其他补充条款：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1.质量标准：</w:t>
      </w:r>
      <w:r>
        <w:rPr>
          <w:rFonts w:hint="eastAsia" w:ascii="宋体" w:hAnsi="宋体" w:eastAsia="宋体" w:cs="宋体"/>
          <w:sz w:val="24"/>
          <w:szCs w:val="24"/>
          <w:u w:val="single"/>
        </w:rPr>
        <w:t>满足设计、标准、施工及验收规范要求。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2.如工程竣工验收不合格，乙方应按甲方要求在规定的期限内整改至合格，并承担</w:t>
      </w:r>
      <w:r>
        <w:rPr>
          <w:rFonts w:hint="eastAsia" w:ascii="宋体" w:hAnsi="宋体" w:eastAsia="宋体" w:cs="宋体"/>
          <w:sz w:val="24"/>
          <w:szCs w:val="24"/>
          <w:u w:val="single"/>
        </w:rPr>
        <w:t>本合同总价5％的违约金</w:t>
      </w:r>
      <w:r>
        <w:rPr>
          <w:rFonts w:hint="eastAsia" w:ascii="宋体" w:hAnsi="宋体" w:eastAsia="宋体" w:cs="宋体"/>
          <w:sz w:val="24"/>
          <w:szCs w:val="24"/>
        </w:rPr>
        <w:t>；乙方拒绝整改或整改后仍不合格的，甲方有权终止本合同并追究乙方的违约责任。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1.为了在施工期间确保施工区域周围环境的整洁和交通的正常进行，乙方必须按主管部门有关规定结合本工程施工，在施工组织设计中明确安全文明生产具体措施。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2.乙方在签订施工承包合同的同时，必须与甲方签订安全生产协议书和文明施工协议书，乙方如违反规定野蛮施工，甲方有权限令停工整改，一切损失由乙方自负。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1.材料设备技术要求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（1）普通薄钢板：钢板表面应平整光滑，厚度应均匀，不得有裂纹结疤等缺陷，其材质应符合现行国家标准《优质碳素结构钢冷轧薄钢板和钢带》GBl3237 或《优质碳素结构钢热轧薄钢板和钢带》GB710的规定。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（2）所有灯具均要符合节能要求、必须通过ISO9001、CCC、CQC认证，灯具提供检测报告。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（3）支吊架固定所采用的膨胀螺栓、射钉等，应符合设计要求，其强度应能满足管道及设备的安装要求。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非另有要求，否则此范围的设备、管线、材料详见设计图纸要求。订货及选用前，必须送样品及详细产品资料给监理及甲方，经监理及甲方认可后，方能订货。设备和材料运抵工地时，必须报请监理工程师检查验收，签证认可后才能进行施工安装，若发现所用产品与样品不符造成的返工，费用由乙方承担。材料、制品、设备和五金配件应符合现行国家质量标准的要求，并具有出厂合格证和试验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（5）所有灯具设置位置及作用详见设计图纸。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（6）甲方保留更改材料品牌及单价的权利。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（1）乙方必须安排技术人员仔细熟悉图纸，并就有关疑问书面提交监理及甲方，严格按照程序进行图纸中设计问题的处理，深化设计和施工要注意与建筑主体立面材料的协调。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（2）设备及配件安装：所有的设备及配件的安装其接触面及其本身要保持干净、安装位置、方向正确。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没有按照图纸、规范及合同要求进行施工的工程内容，监理及甲方皆有权要求乙方返工，以达到图纸、规范及合同的要求，返工所引起的费用皆由乙方负担。在任何被指示进行的工程已完成并达到监理工程师、设计人员、甲方满意之后、方能给予签发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（4）乙方应与土建、幕墙施工单位密切配合，妥善进行所有管线的碰口、预留、管线交叉处理工作及洞口封堵。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（5）其他有关施工技术要求详见规范及设计说明。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（1）竣工验收交接前全部由乙方自行负责。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（2）成品保护就是在工程管理中采用有组织和技术的手段，对已施工的工程产品或工序进行保护，防止破坏；现场成品保护由乙方统一协调管理，监理工程师应用合同及技术手段进行监督和控制。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（3）合理安排施工工序，避免倒工序施工，影响成品保护、破坏成品。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（4）成品与半成品必须有专门的场所放置，并派专人管理。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（5）交叉施工阶段，上下道工序的交接双方要派专人在现场监护，确保上下道工序的成品不受损坏。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（6）加强值班，监督进出人员遵守规定，有效保护成品。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（7）乙方未按要求进行成品保护，甲方可以视情况扣除</w:t>
      </w:r>
      <w:r>
        <w:rPr>
          <w:rFonts w:hint="eastAsia" w:ascii="宋体" w:hAnsi="宋体" w:eastAsia="宋体" w:cs="宋体"/>
          <w:sz w:val="24"/>
          <w:szCs w:val="24"/>
          <w:u w:val="single"/>
        </w:rPr>
        <w:t>合同价1%以下 </w:t>
      </w:r>
      <w:r>
        <w:rPr>
          <w:rFonts w:hint="eastAsia" w:ascii="宋体" w:hAnsi="宋体" w:eastAsia="宋体" w:cs="宋体"/>
          <w:sz w:val="24"/>
          <w:szCs w:val="24"/>
        </w:rPr>
        <w:t>的违约金，并责令其整改到位。造成成品破坏的，乙方应立即修复、更换。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4.本工程适用的标准和规范文件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（1）本工程适用的标准和规范文件：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《低压配电设计规范》GB 5004-2011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《建筑照明设计规范》GB50034-2013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《建筑物防雷设计规范》GB5007-2011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《电气装置安装工程接地装置施工及验收规范》GB-50169-2016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《建筑电气工程施工质量验收规范》GB50303-2015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《工程测量规范》GB50026-2007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《建筑设计防火规范》GBJ16-2014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《高层民用建筑设计防火规范》GB50045-2005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《建筑施工高处作业安全技术规范》JGJ80-2016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《建筑机械使用安全技术规程》JGJ33-2012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《施工现场临时用电安全技术规范》JGJ46-2005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（2）地方相关部门发布的关于建筑施工现场安全管理的文化及规定。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（3）以上规范涉及到的其它现行国家规范、规程和规定和</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市地方管理规定。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（4）设计单位设计的施工图中涉及到的规范、规程和标准及相关技术要求。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（5）甲方或监理工程师依据本工程的特点和具体情况以及国家现行规范、规程和标准制定的本工程特定适用的有关补充规定或要求。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标准、规范及规程仅是本工程建筑安装的最基本依据，并未包括实施中所涉及到的所有标准、规范和规程。在合同有效期内，如相关主管部门对上述的规范、规程、标准等进行了修订或更新，或者甲方（或监理工程师）对其制定的相关补充规定或要求进行了修订，则乙方应以更新或修订后的版本为准，并予以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六、竣工验收及保修要求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（3）竣工验收时，乙方应提供四套完整竣工图给甲方归档。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（1）按国家现行建设工程质量标准和施工验收规范、设计的要求进行验收。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（2）最终以通过当地交通部门、监理、发包方等单位的验收为合格。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（3）工程交接：验收后，由发包方牵头，向物业管理单位作交接性验收。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保修期间，乙方必须在接到甲方维修指令后24小时内进行维修。否则甲方有权单方面另行组织人力进行维修，费用从保修金中扣除，而且乙方须对甲方的维修结果继续负责。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2.监理总监：</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3.总承包单位代表：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44005BE"/>
    <w:rsid w:val="05631D4F"/>
    <w:rsid w:val="05C52FB7"/>
    <w:rsid w:val="07A10AB0"/>
    <w:rsid w:val="0B65306F"/>
    <w:rsid w:val="0E176F64"/>
    <w:rsid w:val="0EDF7064"/>
    <w:rsid w:val="1089754A"/>
    <w:rsid w:val="117A5520"/>
    <w:rsid w:val="14594ADB"/>
    <w:rsid w:val="14F6178C"/>
    <w:rsid w:val="14FA3B93"/>
    <w:rsid w:val="15ED07E8"/>
    <w:rsid w:val="172E772F"/>
    <w:rsid w:val="178A1B88"/>
    <w:rsid w:val="183742BC"/>
    <w:rsid w:val="193733FF"/>
    <w:rsid w:val="196C7107"/>
    <w:rsid w:val="197C0FAC"/>
    <w:rsid w:val="1A6575C0"/>
    <w:rsid w:val="1CE300F7"/>
    <w:rsid w:val="1DF24708"/>
    <w:rsid w:val="1EC569AC"/>
    <w:rsid w:val="1ED63A1D"/>
    <w:rsid w:val="20F0405B"/>
    <w:rsid w:val="2227319F"/>
    <w:rsid w:val="223E3055"/>
    <w:rsid w:val="25C13C5F"/>
    <w:rsid w:val="26E80887"/>
    <w:rsid w:val="26FB5529"/>
    <w:rsid w:val="27285CC7"/>
    <w:rsid w:val="277B692A"/>
    <w:rsid w:val="283B0B3B"/>
    <w:rsid w:val="2CFE5663"/>
    <w:rsid w:val="2D13514A"/>
    <w:rsid w:val="2E182686"/>
    <w:rsid w:val="31BB707E"/>
    <w:rsid w:val="31BF6A02"/>
    <w:rsid w:val="341E32FE"/>
    <w:rsid w:val="343E71B3"/>
    <w:rsid w:val="372975D8"/>
    <w:rsid w:val="37A202C2"/>
    <w:rsid w:val="38D7248D"/>
    <w:rsid w:val="393C6139"/>
    <w:rsid w:val="399B6873"/>
    <w:rsid w:val="39CE1D19"/>
    <w:rsid w:val="3A5C0BBE"/>
    <w:rsid w:val="3B692335"/>
    <w:rsid w:val="3C0633FD"/>
    <w:rsid w:val="3C0E0CCC"/>
    <w:rsid w:val="40564740"/>
    <w:rsid w:val="41C1778D"/>
    <w:rsid w:val="42524786"/>
    <w:rsid w:val="42886B5C"/>
    <w:rsid w:val="42BE320E"/>
    <w:rsid w:val="42C40756"/>
    <w:rsid w:val="43622601"/>
    <w:rsid w:val="43993871"/>
    <w:rsid w:val="454455A0"/>
    <w:rsid w:val="482C1F40"/>
    <w:rsid w:val="497B6BA2"/>
    <w:rsid w:val="4A613352"/>
    <w:rsid w:val="4AB649EA"/>
    <w:rsid w:val="4B967FFB"/>
    <w:rsid w:val="4BC533D6"/>
    <w:rsid w:val="4C4E7E44"/>
    <w:rsid w:val="4C747AA6"/>
    <w:rsid w:val="4DFE3F2E"/>
    <w:rsid w:val="4E1605DB"/>
    <w:rsid w:val="4F9923C0"/>
    <w:rsid w:val="518E3EFF"/>
    <w:rsid w:val="52D2790C"/>
    <w:rsid w:val="53317DC4"/>
    <w:rsid w:val="53560B84"/>
    <w:rsid w:val="5569353D"/>
    <w:rsid w:val="55B55277"/>
    <w:rsid w:val="58AD73AD"/>
    <w:rsid w:val="598D28B2"/>
    <w:rsid w:val="5A2054E3"/>
    <w:rsid w:val="5ABA5486"/>
    <w:rsid w:val="5AE94E61"/>
    <w:rsid w:val="5B645839"/>
    <w:rsid w:val="5C803337"/>
    <w:rsid w:val="5D673200"/>
    <w:rsid w:val="5EE8661A"/>
    <w:rsid w:val="61034F01"/>
    <w:rsid w:val="61121040"/>
    <w:rsid w:val="62211324"/>
    <w:rsid w:val="62E11002"/>
    <w:rsid w:val="62FC3CAE"/>
    <w:rsid w:val="647E4E77"/>
    <w:rsid w:val="64EF031B"/>
    <w:rsid w:val="661C6C53"/>
    <w:rsid w:val="67153A73"/>
    <w:rsid w:val="6866522B"/>
    <w:rsid w:val="68B47D66"/>
    <w:rsid w:val="69A540F7"/>
    <w:rsid w:val="6A326C46"/>
    <w:rsid w:val="6E7571D2"/>
    <w:rsid w:val="6F144006"/>
    <w:rsid w:val="72353488"/>
    <w:rsid w:val="7380096A"/>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