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ordWrap w:val="0"/>
        <w:adjustRightInd w:val="0"/>
        <w:snapToGrid w:val="0"/>
        <w:spacing w:line="360" w:lineRule="auto"/>
        <w:jc w:val="right"/>
        <w:rPr>
          <w:rFonts w:ascii="宋体" w:eastAsia="宋体"/>
          <w:bCs/>
          <w:sz w:val="24"/>
        </w:rPr>
      </w:pPr>
      <w:r>
        <w:rPr>
          <w:rFonts w:hint="eastAsia" w:ascii="宋体" w:eastAsia="宋体"/>
          <w:bCs/>
          <w:sz w:val="24"/>
        </w:rPr>
        <w:t>合同编号</w:t>
      </w:r>
      <w:r>
        <w:rPr>
          <w:rFonts w:hint="eastAsia" w:ascii="宋体" w:eastAsia="宋体"/>
          <w:bCs/>
          <w:sz w:val="24"/>
          <w:u w:val="single"/>
        </w:rPr>
        <w:t xml:space="preserve">            </w:t>
      </w:r>
    </w:p>
    <w:p>
      <w:pPr>
        <w:pStyle w:val="3"/>
        <w:jc w:val="center"/>
      </w:pPr>
      <w:r>
        <w:rPr>
          <w:rFonts w:hint="eastAsia"/>
        </w:rPr>
        <w:t>室内环境净化治理服务合同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委托方（甲方）：</w:t>
      </w:r>
      <w:r>
        <w:rPr>
          <w:rFonts w:hint="eastAsia" w:ascii="宋体" w:eastAsia="宋体"/>
          <w:sz w:val="24"/>
          <w:u w:val="single"/>
        </w:rPr>
        <w:t>　　　　　　　　　　　　　　　　　　　　　　</w:t>
      </w:r>
    </w:p>
    <w:p>
      <w:pPr>
        <w:wordWrap w:val="0"/>
        <w:adjustRightInd w:val="0"/>
        <w:snapToGrid w:val="0"/>
        <w:spacing w:line="360" w:lineRule="auto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治理方（乙方）：</w:t>
      </w:r>
      <w:r>
        <w:rPr>
          <w:rFonts w:hint="eastAsia" w:ascii="宋体" w:eastAsia="宋体"/>
          <w:sz w:val="24"/>
          <w:u w:val="single"/>
        </w:rPr>
        <w:t>　　　　　　　　　　　　　　　　　　　　　　</w:t>
      </w:r>
    </w:p>
    <w:p>
      <w:pPr>
        <w:wordWrap w:val="0"/>
        <w:adjustRightInd w:val="0"/>
        <w:snapToGrid w:val="0"/>
        <w:spacing w:before="312" w:beforeLines="100"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根据《中华人民共和国民法典》及有关法律法规的规定，甲乙双方在平等、自愿的基础上，经协商一致，就室内环境净化治理事项达成以下协议。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第一条　</w:t>
      </w:r>
      <w:r>
        <w:rPr>
          <w:rFonts w:ascii="宋体" w:eastAsia="宋体"/>
          <w:b/>
          <w:sz w:val="24"/>
        </w:rPr>
        <w:t>室内环境净化治理概况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（一）治理标的物类别（请在选择项中打“√”）：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□商务办公楼（室）、</w:t>
      </w:r>
      <w:r>
        <w:rPr>
          <w:rFonts w:ascii="宋体" w:eastAsia="宋体"/>
          <w:sz w:val="24"/>
        </w:rPr>
        <w:t>□家庭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□医院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□厂房、</w:t>
      </w:r>
      <w:r>
        <w:rPr>
          <w:rFonts w:ascii="宋体" w:eastAsia="宋体"/>
          <w:sz w:val="24"/>
        </w:rPr>
        <w:t>□酒店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□学校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□公共场所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□公共建筑、</w:t>
      </w:r>
      <w:r>
        <w:rPr>
          <w:rFonts w:ascii="宋体" w:eastAsia="宋体"/>
          <w:sz w:val="24"/>
        </w:rPr>
        <w:t>□其他</w:t>
      </w:r>
      <w:r>
        <w:rPr>
          <w:rFonts w:hint="eastAsia" w:ascii="宋体" w:eastAsia="宋体"/>
          <w:sz w:val="24"/>
          <w:u w:val="single"/>
        </w:rPr>
        <w:t>　　　　　　　　　　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（二）治理施工地点：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区（县）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路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弄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号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室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（三）治理空间及项目：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治理空间：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 xml:space="preserve">　　　  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</w:t>
      </w:r>
      <w:r>
        <w:rPr>
          <w:rFonts w:hint="eastAsia" w:ascii="宋体" w:eastAsia="宋体"/>
          <w:sz w:val="24"/>
          <w:u w:val="single"/>
        </w:rPr>
        <w:t xml:space="preserve">              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治理项目：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              </w:t>
      </w:r>
      <w:r>
        <w:rPr>
          <w:rFonts w:ascii="宋体" w:eastAsia="宋体"/>
          <w:sz w:val="24"/>
          <w:u w:val="single"/>
        </w:rPr>
        <w:t>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 xml:space="preserve">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（四）治理前污染情况描述（请在选择项中打“√”）：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1．治理前是否通过检测：□是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□否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2．治理前检测机构（全称）：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ascii="宋体" w:eastAsia="宋体"/>
          <w:sz w:val="24"/>
          <w:u w:val="single"/>
        </w:rPr>
        <w:t>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3．治理前检测结果（摘要）：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 xml:space="preserve">   </w:t>
      </w:r>
      <w:r>
        <w:rPr>
          <w:rFonts w:ascii="宋体" w:eastAsia="宋体"/>
          <w:sz w:val="24"/>
          <w:u w:val="single"/>
        </w:rPr>
        <w:t>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4．甲方已进行治理前检测的，需提供检测报告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份交乙方。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5．治理前室内装饰、陈设描述（□附图片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□不需附图片）：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  <w:u w:val="single"/>
        </w:rPr>
      </w:pP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　　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 xml:space="preserve">                  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（五）治理方案及治理产品：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1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治理方案（请在选择项中打</w:t>
      </w:r>
      <w:r>
        <w:rPr>
          <w:rFonts w:hint="eastAsia" w:ascii="宋体" w:eastAsia="宋体"/>
          <w:sz w:val="24"/>
        </w:rPr>
        <w:t>“</w:t>
      </w:r>
      <w:r>
        <w:rPr>
          <w:rFonts w:ascii="宋体" w:eastAsia="宋体"/>
          <w:sz w:val="24"/>
        </w:rPr>
        <w:t>√</w:t>
      </w:r>
      <w:r>
        <w:rPr>
          <w:rFonts w:hint="eastAsia" w:ascii="宋体" w:eastAsia="宋体"/>
          <w:sz w:val="24"/>
        </w:rPr>
        <w:t>”</w:t>
      </w:r>
      <w:r>
        <w:rPr>
          <w:rFonts w:ascii="宋体" w:eastAsia="宋体"/>
          <w:sz w:val="24"/>
        </w:rPr>
        <w:t>）□需要</w:t>
      </w:r>
      <w:r>
        <w:rPr>
          <w:rFonts w:hint="eastAsia" w:ascii="宋体" w:eastAsia="宋体"/>
          <w:sz w:val="24"/>
        </w:rPr>
        <w:t>、</w:t>
      </w:r>
      <w:r>
        <w:rPr>
          <w:rFonts w:ascii="宋体" w:eastAsia="宋体"/>
          <w:sz w:val="24"/>
        </w:rPr>
        <w:t>□不需要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ascii="宋体" w:eastAsia="宋体"/>
          <w:sz w:val="24"/>
        </w:rPr>
        <w:t>2</w:t>
      </w:r>
      <w:r>
        <w:rPr>
          <w:rFonts w:hint="eastAsia" w:ascii="宋体" w:eastAsia="宋体"/>
          <w:sz w:val="24"/>
        </w:rPr>
        <w:t>．</w:t>
      </w:r>
      <w:r>
        <w:rPr>
          <w:rFonts w:ascii="宋体" w:eastAsia="宋体"/>
          <w:sz w:val="24"/>
        </w:rPr>
        <w:t>治理产品</w:t>
      </w:r>
      <w:r>
        <w:rPr>
          <w:rFonts w:hint="eastAsia" w:ascii="宋体" w:eastAsia="宋体"/>
          <w:sz w:val="24"/>
          <w:u w:val="single"/>
        </w:rPr>
        <w:t>：</w:t>
      </w:r>
      <w:r>
        <w:rPr>
          <w:rFonts w:ascii="宋体" w:eastAsia="宋体"/>
          <w:sz w:val="24"/>
          <w:u w:val="single"/>
        </w:rPr>
        <w:t>　　　　　　　　　　　　　　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 xml:space="preserve">　 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（六）其他：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第二条　</w:t>
      </w:r>
      <w:r>
        <w:rPr>
          <w:rFonts w:ascii="宋体" w:eastAsia="宋体"/>
          <w:b/>
          <w:sz w:val="24"/>
        </w:rPr>
        <w:t>治理标准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双方约定选择下列第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项标准执行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按照现行国家标准（填写标准全称）：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双方约定标准：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　　　　　　　　　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 xml:space="preserve">　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第三条　</w:t>
      </w:r>
      <w:r>
        <w:rPr>
          <w:rFonts w:ascii="宋体" w:eastAsia="宋体"/>
          <w:b/>
          <w:sz w:val="24"/>
        </w:rPr>
        <w:t>治理施工期限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开工日期：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日；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竣工日期：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年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月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第四条　</w:t>
      </w:r>
      <w:r>
        <w:rPr>
          <w:rFonts w:ascii="宋体" w:eastAsia="宋体"/>
          <w:b/>
          <w:sz w:val="24"/>
        </w:rPr>
        <w:t>验收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（一）验收日期：治理竣工后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日内验收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（二）验收方式（请在选择项中打“√”）：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</w:t>
      </w:r>
      <w:r>
        <w:rPr>
          <w:rFonts w:ascii="宋体" w:eastAsia="宋体"/>
          <w:sz w:val="24"/>
        </w:rPr>
        <w:t>由第三方检测机构检测验收，检测单位：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>　　　　　　　　</w:t>
      </w:r>
      <w:r>
        <w:rPr>
          <w:rFonts w:hint="eastAsia" w:ascii="宋体" w:eastAsia="宋体"/>
          <w:sz w:val="24"/>
          <w:u w:val="single"/>
        </w:rPr>
        <w:t>　　　　　　　　　　　　　　　</w:t>
      </w:r>
      <w:r>
        <w:rPr>
          <w:rFonts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（三）检测费用由</w:t>
      </w:r>
      <w:r>
        <w:rPr>
          <w:rFonts w:ascii="宋体" w:eastAsia="宋体"/>
          <w:sz w:val="24"/>
          <w:u w:val="single"/>
        </w:rPr>
        <w:t>　　　　　</w:t>
      </w:r>
      <w:r>
        <w:rPr>
          <w:rFonts w:ascii="宋体" w:eastAsia="宋体"/>
          <w:sz w:val="24"/>
        </w:rPr>
        <w:t>方承担。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第五条　</w:t>
      </w:r>
      <w:bookmarkStart w:id="0" w:name="_GoBack"/>
      <w:r>
        <w:rPr>
          <w:rFonts w:ascii="宋体" w:eastAsia="宋体"/>
          <w:b/>
          <w:sz w:val="24"/>
        </w:rPr>
        <w:t>合同价款及支付方式</w:t>
      </w:r>
      <w:bookmarkEnd w:id="0"/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（一）本合同价款为：人民币</w:t>
      </w:r>
      <w:r>
        <w:rPr>
          <w:rFonts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</w:rPr>
        <w:t>元，大写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　　　　　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圆。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（二）支付方式（请在选择项中打“√”）：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□治理结束验收合格后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日内一次性付清。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□本合同签订后，甲方支付乙方定金人民币</w:t>
      </w:r>
      <w:r>
        <w:rPr>
          <w:rFonts w:ascii="宋体" w:eastAsia="宋体"/>
          <w:sz w:val="24"/>
          <w:u w:val="single"/>
        </w:rPr>
        <w:t>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元，待治理工程验收合格后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 xml:space="preserve">       </w:t>
      </w:r>
      <w:r>
        <w:rPr>
          <w:rFonts w:ascii="宋体" w:eastAsia="宋体"/>
          <w:sz w:val="24"/>
          <w:u w:val="single"/>
        </w:rPr>
        <w:t>　</w:t>
      </w:r>
      <w:r>
        <w:rPr>
          <w:rFonts w:ascii="宋体" w:eastAsia="宋体"/>
          <w:sz w:val="24"/>
        </w:rPr>
        <w:t>日内付清余款，定金抵</w:t>
      </w:r>
      <w:r>
        <w:rPr>
          <w:rFonts w:hint="eastAsia" w:ascii="宋体" w:eastAsia="宋体"/>
          <w:sz w:val="24"/>
        </w:rPr>
        <w:t>作价</w:t>
      </w:r>
      <w:r>
        <w:rPr>
          <w:rFonts w:ascii="宋体" w:eastAsia="宋体"/>
          <w:sz w:val="24"/>
        </w:rPr>
        <w:t>款或返还。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□其他：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　　　　　　　　　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（三）结算方式（请在选择项中打“√”）：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□支票、□转账、□</w:t>
      </w:r>
      <w:r>
        <w:rPr>
          <w:rFonts w:ascii="宋体" w:eastAsia="宋体"/>
          <w:sz w:val="24"/>
        </w:rPr>
        <w:t>现金</w:t>
      </w:r>
      <w:r>
        <w:rPr>
          <w:rFonts w:hint="eastAsia" w:ascii="宋体" w:eastAsia="宋体"/>
          <w:sz w:val="24"/>
        </w:rPr>
        <w:t>、□</w:t>
      </w:r>
      <w:r>
        <w:rPr>
          <w:rFonts w:ascii="宋体" w:eastAsia="宋体"/>
          <w:sz w:val="24"/>
        </w:rPr>
        <w:t>其他：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　　　</w:t>
      </w:r>
      <w:r>
        <w:rPr>
          <w:rFonts w:hint="eastAsia" w:ascii="宋体" w:eastAsia="宋体"/>
          <w:sz w:val="24"/>
          <w:u w:val="single"/>
        </w:rPr>
        <w:t xml:space="preserve">     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第六条　</w:t>
      </w:r>
      <w:r>
        <w:rPr>
          <w:rFonts w:ascii="宋体" w:eastAsia="宋体"/>
          <w:b/>
          <w:sz w:val="24"/>
        </w:rPr>
        <w:t>双方权利义务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</w:t>
      </w:r>
      <w:r>
        <w:rPr>
          <w:rFonts w:ascii="宋体" w:eastAsia="宋体"/>
          <w:sz w:val="24"/>
        </w:rPr>
        <w:t>甲方应当确保治理施工场所的供水、供电正常。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</w:t>
      </w:r>
      <w:r>
        <w:rPr>
          <w:rFonts w:ascii="宋体" w:eastAsia="宋体"/>
          <w:sz w:val="24"/>
        </w:rPr>
        <w:t>甲方应当配合乙方治理施工的工艺及操作要求，不擅自改变治理施工场所的密闭或通风状态；不擅自变动治理施工场所内的固定及移动设备。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</w:t>
      </w:r>
      <w:r>
        <w:rPr>
          <w:rFonts w:ascii="宋体" w:eastAsia="宋体"/>
          <w:sz w:val="24"/>
        </w:rPr>
        <w:t>甲方应当妥善保护乙方放置的治理设备，不挪作他用，不擅自移位、变更用途、关闭或启动电源。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</w:t>
      </w:r>
      <w:r>
        <w:rPr>
          <w:rFonts w:ascii="宋体" w:eastAsia="宋体"/>
          <w:sz w:val="24"/>
        </w:rPr>
        <w:t>甲方应当确保检测验收时室内空间物的名称、数量与治理施工时的实际情况相一致。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</w:t>
      </w:r>
      <w:r>
        <w:rPr>
          <w:rFonts w:ascii="宋体" w:eastAsia="宋体"/>
          <w:sz w:val="24"/>
        </w:rPr>
        <w:t>乙方合法拥有室内环境治理施工的相关证明文件。治理施工人员应当持有治理上岗证。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</w:t>
      </w:r>
      <w:r>
        <w:rPr>
          <w:rFonts w:ascii="宋体" w:eastAsia="宋体"/>
          <w:sz w:val="24"/>
        </w:rPr>
        <w:t>乙方应当使用质量合格的治理产品，并向甲方出示该治理产品的合法检测报告。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（七）</w:t>
      </w:r>
      <w:r>
        <w:rPr>
          <w:rFonts w:ascii="宋体" w:eastAsia="宋体"/>
          <w:sz w:val="24"/>
        </w:rPr>
        <w:t>乙方应当文明、安全施工，不损坏甲方治理施工场所内的固定装修、固定及移动设备。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第七条　</w:t>
      </w:r>
      <w:r>
        <w:rPr>
          <w:rFonts w:ascii="宋体" w:eastAsia="宋体"/>
          <w:b/>
          <w:sz w:val="24"/>
        </w:rPr>
        <w:t>违约责任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（一）甲方逾期支付价款的，每逾期一天应按未支付金额的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%向乙方支付违约金。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（二）因乙方原因造成治理施工未按期竣工的，每逾期一天应按合同价款的</w:t>
      </w:r>
      <w:r>
        <w:rPr>
          <w:rFonts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</w:rPr>
        <w:t>%向甲方支付违约金，甲方有权要求乙方继续施工直至完毕。因施工延期给甲方带来损失的，甲方有权要求乙方赔偿。如治理延期导致甲方无法实现合同目的的，甲方有权解除合同。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（三）治理质量不符合约定的，乙方应重新免费负责治理施工达到合同约定的标准，给甲方造成损失的应予以赔偿。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（四）因甲方原因造成乙方设备损坏的，应承担赔偿责任。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（五）因乙方施工造成甲方物品损坏的，由乙方予以赔偿。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（六）其他违约责任：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</w:t>
      </w:r>
      <w:r>
        <w:rPr>
          <w:rFonts w:ascii="宋体" w:eastAsia="宋体"/>
          <w:sz w:val="24"/>
          <w:u w:val="single"/>
        </w:rPr>
        <w:t>　</w:t>
      </w:r>
      <w:r>
        <w:rPr>
          <w:rFonts w:hint="eastAsia" w:ascii="宋体" w:eastAsia="宋体"/>
          <w:sz w:val="24"/>
          <w:u w:val="single"/>
        </w:rPr>
        <w:t>　　　</w:t>
      </w:r>
      <w:r>
        <w:rPr>
          <w:rFonts w:ascii="宋体" w:eastAsia="宋体"/>
          <w:sz w:val="24"/>
          <w:u w:val="single"/>
        </w:rPr>
        <w:t>　　　　　　　　　　　　　　　　　</w:t>
      </w:r>
      <w:r>
        <w:rPr>
          <w:rFonts w:hint="eastAsia" w:ascii="宋体" w:eastAsia="宋体"/>
          <w:sz w:val="24"/>
          <w:u w:val="single"/>
        </w:rPr>
        <w:t xml:space="preserve"> 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第八条　</w:t>
      </w:r>
      <w:r>
        <w:rPr>
          <w:rFonts w:ascii="宋体" w:eastAsia="宋体"/>
          <w:b/>
          <w:sz w:val="24"/>
        </w:rPr>
        <w:t>其他约定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（一）售后服务：</w:t>
      </w:r>
      <w:r>
        <w:rPr>
          <w:rFonts w:ascii="宋体" w:eastAsia="宋体"/>
          <w:sz w:val="24"/>
          <w:u w:val="single"/>
        </w:rPr>
        <w:t>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（二）其他：</w:t>
      </w:r>
      <w:r>
        <w:rPr>
          <w:rFonts w:ascii="宋体" w:eastAsia="宋体"/>
          <w:sz w:val="24"/>
          <w:u w:val="single"/>
        </w:rPr>
        <w:t>　　　　　　　　　　　　　　　　　　</w:t>
      </w:r>
      <w:r>
        <w:rPr>
          <w:rFonts w:hint="eastAsia" w:ascii="宋体" w:eastAsia="宋体"/>
          <w:sz w:val="24"/>
          <w:u w:val="single"/>
        </w:rPr>
        <w:t>　　</w:t>
      </w:r>
      <w:r>
        <w:rPr>
          <w:rFonts w:ascii="宋体" w:eastAsia="宋体"/>
          <w:sz w:val="24"/>
          <w:u w:val="single"/>
        </w:rPr>
        <w:t>　　　</w:t>
      </w:r>
      <w:r>
        <w:rPr>
          <w:rFonts w:hint="eastAsia" w:ascii="宋体" w:eastAsia="宋体"/>
          <w:sz w:val="24"/>
          <w:u w:val="single"/>
        </w:rPr>
        <w:t>　　　　</w:t>
      </w:r>
      <w:r>
        <w:rPr>
          <w:rFonts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>第九条　</w:t>
      </w:r>
      <w:r>
        <w:rPr>
          <w:rFonts w:ascii="宋体" w:eastAsia="宋体"/>
          <w:b/>
          <w:sz w:val="24"/>
        </w:rPr>
        <w:t>争议解决方式</w:t>
      </w:r>
    </w:p>
    <w:p>
      <w:pPr>
        <w:wordWrap w:val="0"/>
        <w:adjustRightInd w:val="0"/>
        <w:snapToGrid w:val="0"/>
        <w:spacing w:line="360" w:lineRule="auto"/>
        <w:ind w:firstLine="464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pacing w:val="-4"/>
          <w:sz w:val="24"/>
        </w:rPr>
        <w:t>本合同履行过程中发生争议，由双方协商解决，也可以选择下列第</w:t>
      </w:r>
      <w:r>
        <w:rPr>
          <w:rFonts w:ascii="宋体" w:eastAsia="宋体"/>
          <w:spacing w:val="-4"/>
          <w:sz w:val="24"/>
          <w:u w:val="single"/>
        </w:rPr>
        <w:t>　</w:t>
      </w:r>
      <w:r>
        <w:rPr>
          <w:rFonts w:hint="eastAsia" w:ascii="宋体" w:eastAsia="宋体"/>
          <w:spacing w:val="-4"/>
          <w:sz w:val="24"/>
          <w:u w:val="single"/>
        </w:rPr>
        <w:t>　</w:t>
      </w:r>
      <w:r>
        <w:rPr>
          <w:rFonts w:ascii="宋体" w:eastAsia="宋体"/>
          <w:spacing w:val="-4"/>
          <w:sz w:val="24"/>
        </w:rPr>
        <w:t>项</w:t>
      </w:r>
      <w:r>
        <w:rPr>
          <w:rFonts w:ascii="宋体" w:eastAsia="宋体"/>
          <w:sz w:val="24"/>
        </w:rPr>
        <w:t>方式解决</w:t>
      </w:r>
      <w:r>
        <w:rPr>
          <w:rFonts w:hint="eastAsia" w:ascii="宋体" w:eastAsia="宋体"/>
          <w:sz w:val="24"/>
        </w:rPr>
        <w:t>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（一）向</w:t>
      </w:r>
      <w:r>
        <w:rPr>
          <w:rFonts w:hint="eastAsia" w:ascii="宋体" w:eastAsia="宋体"/>
          <w:sz w:val="24"/>
          <w:u w:val="single"/>
        </w:rPr>
        <w:t xml:space="preserve">    </w:t>
      </w:r>
      <w:r>
        <w:rPr>
          <w:rFonts w:hint="eastAsia" w:ascii="宋体" w:eastAsia="宋体"/>
          <w:sz w:val="24"/>
        </w:rPr>
        <w:t>仲裁委员会申请仲裁。</w:t>
      </w:r>
    </w:p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  <w:r>
        <w:rPr>
          <w:rFonts w:hint="eastAsia" w:ascii="宋体" w:eastAsia="宋体"/>
          <w:sz w:val="24"/>
        </w:rPr>
        <w:t>（二）依法向人民法院提起诉讼。</w:t>
      </w:r>
    </w:p>
    <w:p>
      <w:pPr>
        <w:wordWrap w:val="0"/>
        <w:adjustRightInd w:val="0"/>
        <w:snapToGrid w:val="0"/>
        <w:spacing w:after="312" w:afterLines="100" w:line="360" w:lineRule="auto"/>
        <w:ind w:firstLine="480" w:firstLineChars="200"/>
        <w:rPr>
          <w:rFonts w:ascii="宋体" w:eastAsia="宋体"/>
          <w:b/>
          <w:sz w:val="24"/>
        </w:rPr>
      </w:pPr>
      <w:r>
        <w:rPr>
          <w:rFonts w:hint="eastAsia" w:ascii="宋体" w:eastAsia="宋体"/>
          <w:b/>
          <w:sz w:val="24"/>
        </w:rPr>
        <w:t xml:space="preserve">第十条  </w:t>
      </w:r>
      <w:r>
        <w:rPr>
          <w:rFonts w:ascii="宋体" w:eastAsia="宋体"/>
          <w:b/>
          <w:sz w:val="24"/>
        </w:rPr>
        <w:t>本合同一式两份，双方各执一份。</w:t>
      </w:r>
    </w:p>
    <w:tbl>
      <w:tblPr>
        <w:tblStyle w:val="11"/>
        <w:tblW w:w="83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3"/>
        <w:gridCol w:w="415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甲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乙    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住    所：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法定代表人：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电    话：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开户银行：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账    号：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邮政编码：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签订地点：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  <w:tc>
          <w:tcPr>
            <w:tcW w:w="4153" w:type="dxa"/>
            <w:shd w:val="clear" w:color="auto" w:fill="auto"/>
          </w:tcPr>
          <w:p>
            <w:pPr>
              <w:wordWrap w:val="0"/>
              <w:adjustRightInd w:val="0"/>
              <w:snapToGrid w:val="0"/>
              <w:spacing w:line="360" w:lineRule="auto"/>
              <w:ind w:firstLine="480" w:firstLineChars="200"/>
              <w:rPr>
                <w:rFonts w:ascii="宋体" w:eastAsia="宋体"/>
                <w:sz w:val="24"/>
              </w:rPr>
            </w:pPr>
            <w:r>
              <w:rPr>
                <w:rFonts w:hint="eastAsia" w:ascii="宋体" w:eastAsia="宋体"/>
                <w:sz w:val="24"/>
              </w:rPr>
              <w:t>签订时间：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年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月</w:t>
            </w:r>
            <w:r>
              <w:rPr>
                <w:rFonts w:hint="eastAsia" w:ascii="宋体" w:eastAsia="宋体"/>
                <w:sz w:val="24"/>
                <w:u w:val="single"/>
              </w:rPr>
              <w:t xml:space="preserve">    </w:t>
            </w:r>
            <w:r>
              <w:rPr>
                <w:rFonts w:hint="eastAsia" w:ascii="宋体" w:eastAsia="宋体"/>
                <w:sz w:val="24"/>
              </w:rPr>
              <w:t>日</w:t>
            </w:r>
          </w:p>
        </w:tc>
      </w:tr>
    </w:tbl>
    <w:p>
      <w:pPr>
        <w:wordWrap w:val="0"/>
        <w:adjustRightInd w:val="0"/>
        <w:snapToGrid w:val="0"/>
        <w:spacing w:line="360" w:lineRule="auto"/>
        <w:ind w:firstLine="480" w:firstLineChars="200"/>
        <w:rPr>
          <w:rFonts w:ascii="宋体" w:eastAsia="宋体"/>
          <w:sz w:val="24"/>
        </w:rPr>
      </w:pPr>
    </w:p>
    <w:sectPr>
      <w:footerReference r:id="rId3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altName w:val="汉仪仿宋KW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B83"/>
    <w:rsid w:val="000B0DC7"/>
    <w:rsid w:val="00270A4B"/>
    <w:rsid w:val="003B29FE"/>
    <w:rsid w:val="003C7C42"/>
    <w:rsid w:val="003E1BF8"/>
    <w:rsid w:val="00426426"/>
    <w:rsid w:val="0044714F"/>
    <w:rsid w:val="00460A07"/>
    <w:rsid w:val="004D2940"/>
    <w:rsid w:val="00537B2C"/>
    <w:rsid w:val="005B54AB"/>
    <w:rsid w:val="006165C5"/>
    <w:rsid w:val="006216AB"/>
    <w:rsid w:val="006D104B"/>
    <w:rsid w:val="007547E0"/>
    <w:rsid w:val="0077206B"/>
    <w:rsid w:val="00831A22"/>
    <w:rsid w:val="00951DF8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E175C"/>
    <w:rsid w:val="00D10EFF"/>
    <w:rsid w:val="00D631F9"/>
    <w:rsid w:val="00D82357"/>
    <w:rsid w:val="00DE5EA8"/>
    <w:rsid w:val="00E3143D"/>
    <w:rsid w:val="00FE65BB"/>
    <w:rsid w:val="BDD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24"/>
    <w:semiHidden/>
    <w:uiPriority w:val="0"/>
    <w:pPr>
      <w:widowControl/>
      <w:adjustRightInd w:val="0"/>
      <w:jc w:val="center"/>
      <w:textAlignment w:val="baseline"/>
    </w:pPr>
    <w:rPr>
      <w:rFonts w:ascii="宋体" w:hAnsi="Times New Roman" w:eastAsia="宋体" w:cs="Times New Roman"/>
      <w:b/>
      <w:bCs/>
      <w:kern w:val="0"/>
      <w:szCs w:val="20"/>
    </w:rPr>
  </w:style>
  <w:style w:type="paragraph" w:styleId="5">
    <w:name w:val="Body Text Indent"/>
    <w:basedOn w:val="1"/>
    <w:link w:val="16"/>
    <w:uiPriority w:val="0"/>
    <w:pPr>
      <w:adjustRightInd w:val="0"/>
      <w:snapToGrid w:val="0"/>
      <w:spacing w:line="312" w:lineRule="auto"/>
      <w:ind w:firstLine="567"/>
    </w:pPr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styleId="6">
    <w:name w:val="Body Text Indent 2"/>
    <w:basedOn w:val="1"/>
    <w:link w:val="18"/>
    <w:uiPriority w:val="0"/>
    <w:pPr>
      <w:wordWrap w:val="0"/>
      <w:adjustRightInd w:val="0"/>
      <w:snapToGrid w:val="0"/>
      <w:spacing w:line="312" w:lineRule="auto"/>
      <w:ind w:firstLine="567"/>
    </w:pPr>
    <w:rPr>
      <w:rFonts w:ascii="宋体" w:hAnsi="宋体" w:eastAsia="仿宋_GB2312" w:cs="Times New Roman"/>
      <w:sz w:val="28"/>
      <w:szCs w:val="28"/>
    </w:rPr>
  </w:style>
  <w:style w:type="paragraph" w:styleId="7">
    <w:name w:val="footer"/>
    <w:basedOn w:val="1"/>
    <w:link w:val="14"/>
    <w:uiPriority w:val="0"/>
    <w:pPr>
      <w:tabs>
        <w:tab w:val="center" w:pos="4153"/>
        <w:tab w:val="right" w:pos="8306"/>
      </w:tabs>
      <w:snapToGrid w:val="0"/>
      <w:jc w:val="left"/>
    </w:pPr>
    <w:rPr>
      <w:rFonts w:ascii="仿宋_GB2312" w:hAnsi="Times New Roman" w:eastAsia="仿宋_GB2312" w:cs="Times New Roman"/>
      <w:sz w:val="18"/>
      <w:szCs w:val="18"/>
    </w:rPr>
  </w:style>
  <w:style w:type="paragraph" w:styleId="8">
    <w:name w:val="header"/>
    <w:basedOn w:val="1"/>
    <w:link w:val="1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仿宋_GB2312" w:hAnsi="Times New Roman" w:eastAsia="仿宋_GB2312" w:cs="Times New Roman"/>
      <w:sz w:val="18"/>
      <w:szCs w:val="18"/>
    </w:rPr>
  </w:style>
  <w:style w:type="paragraph" w:styleId="9">
    <w:name w:val="Body Text Indent 3"/>
    <w:basedOn w:val="1"/>
    <w:link w:val="20"/>
    <w:semiHidden/>
    <w:uiPriority w:val="0"/>
    <w:pPr>
      <w:wordWrap w:val="0"/>
      <w:adjustRightInd w:val="0"/>
      <w:snapToGrid w:val="0"/>
      <w:spacing w:line="324" w:lineRule="auto"/>
      <w:ind w:firstLine="567"/>
    </w:pPr>
    <w:rPr>
      <w:rFonts w:ascii="仿宋_GB2312" w:hAnsi="宋体" w:eastAsia="仿宋_GB2312" w:cs="Times New Roman"/>
      <w:sz w:val="28"/>
      <w:szCs w:val="21"/>
    </w:rPr>
  </w:style>
  <w:style w:type="paragraph" w:styleId="10">
    <w:name w:val="Title"/>
    <w:basedOn w:val="1"/>
    <w:next w:val="1"/>
    <w:link w:val="15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2">
    <w:name w:val="Table Grid"/>
    <w:basedOn w:val="11"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页脚 字符"/>
    <w:basedOn w:val="13"/>
    <w:link w:val="7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15">
    <w:name w:val="标题 字符"/>
    <w:basedOn w:val="13"/>
    <w:link w:val="10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正文文本缩进 字符"/>
    <w:basedOn w:val="13"/>
    <w:link w:val="5"/>
    <w:uiPriority w:val="0"/>
    <w:rPr>
      <w:rFonts w:ascii="仿宋_GB2312" w:hAnsi="Times New Roman" w:eastAsia="仿宋_GB2312" w:cs="Times New Roman"/>
      <w:kern w:val="0"/>
      <w:sz w:val="24"/>
      <w:szCs w:val="24"/>
      <w:lang w:val="zh-CN" w:eastAsia="zh-CN"/>
    </w:rPr>
  </w:style>
  <w:style w:type="paragraph" w:customStyle="1" w:styleId="17">
    <w:name w:val="p17"/>
    <w:basedOn w:val="1"/>
    <w:uiPriority w:val="0"/>
    <w:pPr>
      <w:widowControl/>
    </w:pPr>
    <w:rPr>
      <w:rFonts w:ascii="Times New Roman" w:hAnsi="Times New Roman" w:eastAsia="宋体" w:cs="Times New Roman"/>
      <w:kern w:val="0"/>
      <w:szCs w:val="21"/>
    </w:rPr>
  </w:style>
  <w:style w:type="character" w:customStyle="1" w:styleId="18">
    <w:name w:val="正文文本缩进 2 字符"/>
    <w:basedOn w:val="13"/>
    <w:link w:val="6"/>
    <w:uiPriority w:val="0"/>
    <w:rPr>
      <w:rFonts w:ascii="宋体" w:hAnsi="宋体" w:eastAsia="仿宋_GB2312" w:cs="Times New Roman"/>
      <w:sz w:val="28"/>
      <w:szCs w:val="28"/>
    </w:rPr>
  </w:style>
  <w:style w:type="character" w:customStyle="1" w:styleId="19">
    <w:name w:val="页眉 字符"/>
    <w:basedOn w:val="13"/>
    <w:link w:val="8"/>
    <w:uiPriority w:val="0"/>
    <w:rPr>
      <w:rFonts w:ascii="仿宋_GB2312" w:hAnsi="Times New Roman" w:eastAsia="仿宋_GB2312" w:cs="Times New Roman"/>
      <w:sz w:val="18"/>
      <w:szCs w:val="18"/>
    </w:rPr>
  </w:style>
  <w:style w:type="character" w:customStyle="1" w:styleId="20">
    <w:name w:val="正文文本缩进 3 字符"/>
    <w:basedOn w:val="13"/>
    <w:link w:val="9"/>
    <w:semiHidden/>
    <w:uiPriority w:val="0"/>
    <w:rPr>
      <w:rFonts w:ascii="仿宋_GB2312" w:hAnsi="宋体" w:eastAsia="仿宋_GB2312" w:cs="Times New Roman"/>
      <w:sz w:val="28"/>
      <w:szCs w:val="21"/>
    </w:rPr>
  </w:style>
  <w:style w:type="paragraph" w:customStyle="1" w:styleId="21">
    <w:name w:val="中等深浅网格 1 - 着色 21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character" w:customStyle="1" w:styleId="22">
    <w:name w:val="标题 2 字符"/>
    <w:basedOn w:val="13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3">
    <w:name w:val="标题 3 字符"/>
    <w:basedOn w:val="13"/>
    <w:link w:val="3"/>
    <w:uiPriority w:val="9"/>
    <w:rPr>
      <w:b/>
      <w:bCs/>
      <w:sz w:val="32"/>
      <w:szCs w:val="32"/>
    </w:rPr>
  </w:style>
  <w:style w:type="character" w:customStyle="1" w:styleId="24">
    <w:name w:val="正文文本 字符"/>
    <w:basedOn w:val="13"/>
    <w:link w:val="4"/>
    <w:semiHidden/>
    <w:uiPriority w:val="0"/>
    <w:rPr>
      <w:rFonts w:ascii="宋体" w:hAnsi="Times New Roman" w:eastAsia="宋体" w:cs="Times New Roman"/>
      <w:b/>
      <w:bCs/>
      <w:kern w:val="0"/>
      <w:szCs w:val="20"/>
    </w:rPr>
  </w:style>
  <w:style w:type="paragraph" w:customStyle="1" w:styleId="25">
    <w:name w:val="样式 样式 标题 3 + (中文) 宋体1 + 小四"/>
    <w:basedOn w:val="1"/>
    <w:link w:val="26"/>
    <w:uiPriority w:val="0"/>
    <w:pPr>
      <w:keepNext/>
      <w:keepLines/>
      <w:spacing w:before="260" w:after="260" w:line="416" w:lineRule="auto"/>
      <w:jc w:val="center"/>
      <w:outlineLvl w:val="2"/>
    </w:pPr>
    <w:rPr>
      <w:rFonts w:ascii="等线" w:hAnsi="等线" w:eastAsia="宋体" w:cs="Times New Roman"/>
      <w:b/>
      <w:bCs/>
      <w:sz w:val="32"/>
      <w:szCs w:val="32"/>
    </w:rPr>
  </w:style>
  <w:style w:type="character" w:customStyle="1" w:styleId="26">
    <w:name w:val="样式 样式 标题 3 + (中文) 宋体1 + 小四 Char"/>
    <w:basedOn w:val="13"/>
    <w:link w:val="25"/>
    <w:uiPriority w:val="0"/>
    <w:rPr>
      <w:rFonts w:ascii="等线" w:hAnsi="等线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405</Words>
  <Characters>2310</Characters>
  <Lines>19</Lines>
  <Paragraphs>5</Paragraphs>
  <TotalTime>0</TotalTime>
  <ScaleCrop>false</ScaleCrop>
  <LinksUpToDate>false</LinksUpToDate>
  <CharactersWithSpaces>2710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2019-03-21T14:49:00Z</dcterms:created>
  <dc:creator>雯 张</dc:creator>
  <cp:lastModifiedBy>雯 张</cp:lastModifiedBy>
  <dcterms:modified xsi:type="dcterms:W3CDTF">2020-05-25T16:05:53Z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