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sz w:val="30"/>
          <w:szCs w:val="30"/>
          <w:shd w:val="clear" w:color="auto" w:fill="FFFFFF" w:themeFill="background1"/>
        </w:rPr>
      </w:pPr>
      <w:bookmarkStart w:id="0" w:name="_GoBack"/>
      <w:r>
        <w:rPr>
          <w:rFonts w:hint="eastAsia"/>
          <w:sz w:val="30"/>
          <w:szCs w:val="30"/>
          <w:shd w:val="clear" w:color="auto" w:fill="FFFFFF" w:themeFill="background1"/>
        </w:rPr>
        <w:t>城市供用水合同</w:t>
      </w:r>
    </w:p>
    <w:bookmarkEnd w:id="0"/>
    <w:p>
      <w:pPr>
        <w:widowControl/>
        <w:shd w:val="clear" w:color="auto" w:fill="FFFFFF" w:themeFill="background1"/>
        <w:wordWrap w:val="0"/>
        <w:spacing w:line="360" w:lineRule="auto"/>
        <w:ind w:firstLine="420"/>
        <w:jc w:val="righ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合同编号：</w:t>
      </w:r>
      <w:r>
        <w:rPr>
          <w:rFonts w:hint="eastAsia" w:ascii="宋体" w:hAnsi="宋体" w:eastAsia="宋体" w:cs="宋体"/>
          <w:color w:val="000000"/>
          <w:kern w:val="0"/>
          <w:sz w:val="24"/>
          <w:szCs w:val="24"/>
          <w:u w:val="single"/>
          <w:shd w:val="clear" w:color="auto" w:fill="FFFFFF" w:themeFill="background1"/>
        </w:rPr>
        <w:t xml:space="preserve">          </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供水人：</w:t>
      </w:r>
      <w:r>
        <w:rPr>
          <w:rFonts w:hint="eastAsia" w:ascii="宋体" w:hAnsi="宋体" w:eastAsia="宋体" w:cs="宋体"/>
          <w:color w:val="000000"/>
          <w:kern w:val="0"/>
          <w:sz w:val="24"/>
          <w:szCs w:val="24"/>
          <w:u w:val="single"/>
          <w:shd w:val="clear" w:color="auto" w:fill="FFFFFF" w:themeFill="background1"/>
        </w:rPr>
        <w:t xml:space="preserve">                 </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用水人：</w:t>
      </w:r>
      <w:r>
        <w:rPr>
          <w:rFonts w:hint="eastAsia" w:ascii="宋体" w:hAnsi="宋体" w:eastAsia="宋体" w:cs="宋体"/>
          <w:color w:val="000000"/>
          <w:kern w:val="0"/>
          <w:sz w:val="24"/>
          <w:szCs w:val="24"/>
          <w:u w:val="single"/>
          <w:shd w:val="clear" w:color="auto" w:fill="FFFFFF" w:themeFill="background1"/>
        </w:rPr>
        <w:t xml:space="preserve">                 </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为了明确城市用水供应、使用中的权利和义务，根据《中华人民共和国民法典》等有关法律、法规的规定，双方协商一致，订立本合同。</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第一条  用水性质、用水地址和用水量</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1．用水人用水性质为下列第</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种：</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①居民生活用水。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②非居民生活用水（□工业用水、□经营服务用水、□行政事业单位用水）。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③特种用水（□洗浴用水、□洗车用水、□其他</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2．用水地址：</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市（州）</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县（市、区）</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街（路、巷）</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号</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幢</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单元</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号。</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3．用水量计量单位为立方米。用水人月用水量</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立方米。</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第二条  供水方式和供水水质、水压</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1．合同履行期间，供水人向用水人提供不间断供水（不可抗拒的事由除外）。</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2．供水人承诺城市供水管网水质符合国家《生活饮用水卫生标准》。</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3．供水人承诺供水管网的压力符合国家规定的标准。</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第三条  用水价格及水费结算</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1．用水价格：当前价格为</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元/立方米。该价格包含城市污水处理费以及政府规定征收或代收的相关费用。此价格为政府</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号文件规定的用水价格，并依照政府相关价格调整的文件调整。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2．水费结算</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（1）结算水表：结算水表为下列第</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种：</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①人工读数水表。</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②IC卡智能水表。</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结算水表安装地点为</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，水表型号</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，水表出厂编号</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供水人将结算水表送当地质量技术监督主管部门检验合格后实地安装。</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（2）结算方式及付费期限：安装人工读数水表的，供水人按</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月为周期查抄结算水表，用水人在</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月</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日前交清已结算水费和基本水费。</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安装IC卡智能水表的，用水人自行及时向预付费账户充值。</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（3）用水人的用水按照用水性质实行分类计量，不同用水性质的用水单独安装结算水表。不同用水性质的用水共用一具结算水表时，供水人按最高类别水价收取水费。</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第四条  供用水设施的维护管理</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供水人负责对结算水表（含结算水表）以前的供水管道及设施的维护、检修、管理，用水人负责结算水表（不含结算水表）以后的用水管道及用水设施的维护、管理。</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第五条  供水人的权利和义务</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1．按照合同约定的水压、水质向用水人供水。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对有计划的供水工程施工或者供水设施检修需停水的，提前24小时将停水事由、停水时间通知受影响区域用水人。因爆管、源水污染、突然停电或雷击等突发且不可控制事件导致供水中止，供水人应当及时通知受影响区域用水人停水事由及恢复供水所需时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3．维护、检修、更换结算水表、表井（箱）及附属设施，查抄结算水表。</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4．用水人无正当理由或特殊原因逾期不交付水费，经供水人催告后，连续两个月仍不交付水费的，供水人可按国家规定的程序暂停供水。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5．因用水人的原因致使供水人不能查抄结算水表的，供水人可按用水人前三个月的平均月用水量结算本周期水费。因用水人的原因致使供水人不能维护结算水表，造成损失的，用水人承担相应的赔偿责任。</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6．设立24小时服务热线电话</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受理用水人报修和投诉信息。</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7．结算水表例行检定，检定费用由供水人承担。对结算水表计量准确度有异议的，由供水人负责送至当地质量技术监督主管部门校核检定。校检期间，由供水人为用水人安装符合质量标准的临时结算水表。如检定合格，其发生的费用（包括结算水表和临时结算水表的拆装表费、校检费）由用水人承担；如检定不合格，供水人承担一切与校检相关的费用，为用水人无偿安装新的合格结算水表，并承担违约责任或损失赔偿责任。</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8．对结算水表因自然损坏造成的表停、表坏，供水人无偿更换，并根据前三个月的平均月用水量估算本查表周期内的水费。</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9．用水人用水量增加，半年内月度平均用水量累计3次超过水表额定流量，供水人可将水表口径改大或者采取限流措施，费用由用水人承担。用水人超负荷用水造成结算水表故障的，供水人可按前三个月最高月用水量估算水费。</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10．通过用户手册、宣传单、网站列表等便于用水人知晓的方式，公示营业、维修服务网点，以及收费标准、维修标准和维修期限。</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第六条  用水人的权利和义务</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1．按照合同约定的用水量、用水性质和用水范围用水。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2．不擅自改变用水性质或转供城市供水。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3．有权要求供水人按照国家的规定对结算水表进行周期检定。</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4．对结算水表计量准确度有异议的，有权向当地质量技术监督主管部门申请校核检定。</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5．有权对供水人收取的水费申请复核。</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6．按照合同约定交付水费。</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7．协助供水人维护、检修、更换结算水表、表井（箱）及附属设施，配合供水人查抄水表。不擅自安装、改装、拆除、损坏结算水表或者干扰结算水表正常计量。</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8．用水量增加，提前办理换表手续；用水量减少，经供水人同意后可将水表口径改小。用水人承担因更换、改造而发生的工料费。</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9．需要水表分户、移表、扩大供水范围、终止用水、变更户名或者用水性质的，向供水人申请办理相关手续。</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第七条  违约责任</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1．供水人未按合同约定向用水人供水或供水水压、水质不符合国家标准的，供水人每日按违约期间正常用水水费的</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向用水人支付违约金。给用水人造成损失的，供水人承担损失赔偿责任。因爆管、源水污染、突然停电或雷击等突发且不可控制事件以及计划内供水工程施工或者供水设施检修的原因除外，供水人及时以合理的方式通知用水人。</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2．供水人因结算水表计量不准或抄错结算水表而多收的水费，予以退还。</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3．供水人安装未经检验的结算水表不合格，给用水人造成损失的，承担赔偿责任。</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4．用水人逾期未交付水费的，从逾期之日起每日按未交水费的</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%向供水人支付违约金。经催告后无正当理由或特殊原因连续两个月不交水费的，供水人可按国家规定的程序中止供水。</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5．用水人擅自转供城市供水，有计量表的按照计量交付实用类别水费（含污水处理费），无计量表的按照管径的压力流量交付实用类别水费（含污水处理费），并按合同约定的年用水水费的＿%向供水人支付违约金。</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6．用水人擅自安装、改装、拆除、损坏结算水表或干扰结算水表正常计量，给供水人造成损失的，承担赔偿责任。</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7．用水人终止用水，未到供水人处办理相关手续，给供水人造成损失的，承担赔偿责任。</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第八条  合同履行期限</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本合同履行期限为下列第</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种：</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1．无固定期限。供水人自</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年</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月</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日起向用水人供水。用水人向供水人提出终止用水请求，双方结清有关费用，办理终止用水手续后，本合同终止。</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2．固定期限。供水人自</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年</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月</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日起至</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年</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月</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日止向用水人供水。合同履行到期，双方结清有关费用，办理终止用水手续后，本合同终止。</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第九条  合同的变更与补充</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需要修改合同条款或者补充合同未尽事宜的，经双方协商一致，可以订立变更协议或补充协议。</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第十条  争议解决方式</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履行中发生争议的，双方协商解决，也可以请求有关部门或行业组织调解。不愿协商、调解或者协商、调解不成的，按下列第</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种方式解决：</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1．提交</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仲裁委员会仲裁；</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shd w:val="clear" w:color="auto" w:fill="FFFFFF" w:themeFill="background1"/>
        </w:rPr>
        <w:t>2．依法向人民法院起诉。</w:t>
      </w:r>
    </w:p>
    <w:p>
      <w:pPr>
        <w:widowControl/>
        <w:shd w:val="clear" w:color="auto" w:fill="FFFFFF" w:themeFill="background1"/>
        <w:wordWrap w:val="0"/>
        <w:spacing w:line="360" w:lineRule="auto"/>
        <w:ind w:firstLine="480" w:firstLineChars="200"/>
        <w:jc w:val="left"/>
        <w:rPr>
          <w:rFonts w:ascii="宋体" w:hAnsi="宋体" w:eastAsia="宋体" w:cs="宋体"/>
          <w:b/>
          <w:bCs/>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第十一条  其他约定</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w:t>
      </w:r>
    </w:p>
    <w:p>
      <w:pPr>
        <w:widowControl/>
        <w:shd w:val="clear" w:color="auto" w:fill="FFFFFF" w:themeFill="background1"/>
        <w:wordWrap w:val="0"/>
        <w:spacing w:line="360" w:lineRule="auto"/>
        <w:ind w:firstLine="480" w:firstLineChars="200"/>
        <w:jc w:val="left"/>
        <w:rPr>
          <w:rFonts w:ascii="宋体" w:hAnsi="宋体" w:eastAsia="宋体" w:cs="宋体"/>
          <w:color w:val="000000"/>
          <w:kern w:val="0"/>
          <w:sz w:val="24"/>
          <w:szCs w:val="24"/>
          <w:shd w:val="clear" w:color="auto" w:fill="FFFFFF" w:themeFill="background1"/>
        </w:rPr>
      </w:pPr>
      <w:r>
        <w:rPr>
          <w:rFonts w:hint="eastAsia" w:ascii="宋体" w:hAnsi="宋体" w:eastAsia="宋体" w:cs="宋体"/>
          <w:b/>
          <w:bCs/>
          <w:color w:val="000000"/>
          <w:kern w:val="0"/>
          <w:sz w:val="24"/>
          <w:szCs w:val="24"/>
          <w:shd w:val="clear" w:color="auto" w:fill="FFFFFF" w:themeFill="background1"/>
        </w:rPr>
        <w:t>第十二条</w:t>
      </w:r>
      <w:r>
        <w:rPr>
          <w:rFonts w:hint="eastAsia" w:ascii="宋体" w:hAnsi="宋体" w:eastAsia="宋体" w:cs="宋体"/>
          <w:color w:val="000000"/>
          <w:kern w:val="0"/>
          <w:sz w:val="24"/>
          <w:szCs w:val="24"/>
          <w:shd w:val="clear" w:color="auto" w:fill="FFFFFF" w:themeFill="background1"/>
        </w:rPr>
        <w:t>  本合同一式贰份，供用水双方各执一份，自订立之日起生效。</w:t>
      </w:r>
    </w:p>
    <w:tbl>
      <w:tblPr>
        <w:tblStyle w:val="8"/>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供水人：（签章）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用水人：（签章）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住所：</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住所：</w:t>
            </w:r>
            <w:r>
              <w:rPr>
                <w:rFonts w:hint="eastAsia" w:ascii="宋体" w:hAnsi="宋体" w:eastAsia="宋体" w:cs="宋体"/>
                <w:color w:val="000000"/>
                <w:kern w:val="0"/>
                <w:sz w:val="24"/>
                <w:szCs w:val="24"/>
                <w:u w:val="single"/>
                <w:shd w:val="clear" w:color="auto" w:fill="FFFFFF" w:themeFill="background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法定代表人（签字）：</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法定代表人（签字）：</w:t>
            </w:r>
            <w:r>
              <w:rPr>
                <w:rFonts w:hint="eastAsia" w:ascii="宋体" w:hAnsi="宋体" w:eastAsia="宋体" w:cs="宋体"/>
                <w:color w:val="000000"/>
                <w:kern w:val="0"/>
                <w:sz w:val="24"/>
                <w:szCs w:val="24"/>
                <w:u w:val="single"/>
                <w:shd w:val="clear" w:color="auto" w:fill="FFFFFF" w:themeFill="background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委托代理人（签字）：</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委托代理人（签字）：</w:t>
            </w:r>
            <w:r>
              <w:rPr>
                <w:rFonts w:hint="eastAsia" w:ascii="宋体" w:hAnsi="宋体" w:eastAsia="宋体" w:cs="宋体"/>
                <w:color w:val="000000"/>
                <w:kern w:val="0"/>
                <w:sz w:val="24"/>
                <w:szCs w:val="24"/>
                <w:u w:val="single"/>
                <w:shd w:val="clear" w:color="auto" w:fill="FFFFFF" w:themeFill="background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开户银行：</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开户银行：</w:t>
            </w:r>
            <w:r>
              <w:rPr>
                <w:rFonts w:hint="eastAsia" w:ascii="宋体" w:hAnsi="宋体" w:eastAsia="宋体" w:cs="宋体"/>
                <w:color w:val="000000"/>
                <w:kern w:val="0"/>
                <w:sz w:val="24"/>
                <w:szCs w:val="24"/>
                <w:u w:val="single"/>
                <w:shd w:val="clear" w:color="auto" w:fill="FFFFFF" w:themeFill="background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账号：</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账号：</w:t>
            </w:r>
            <w:r>
              <w:rPr>
                <w:rFonts w:hint="eastAsia" w:ascii="宋体" w:hAnsi="宋体" w:eastAsia="宋体" w:cs="宋体"/>
                <w:color w:val="000000"/>
                <w:kern w:val="0"/>
                <w:sz w:val="24"/>
                <w:szCs w:val="24"/>
                <w:u w:val="single"/>
                <w:shd w:val="clear" w:color="auto" w:fill="FFFFFF" w:themeFill="background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电话：</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电话：</w:t>
            </w:r>
            <w:r>
              <w:rPr>
                <w:rFonts w:hint="eastAsia" w:ascii="宋体" w:hAnsi="宋体" w:eastAsia="宋体" w:cs="宋体"/>
                <w:color w:val="000000"/>
                <w:kern w:val="0"/>
                <w:sz w:val="24"/>
                <w:szCs w:val="24"/>
                <w:u w:val="single"/>
                <w:shd w:val="clear" w:color="auto" w:fill="FFFFFF" w:themeFill="background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合同订立日期：</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年</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月</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日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合同订立日期：</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年</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月</w:t>
            </w:r>
            <w:r>
              <w:rPr>
                <w:rFonts w:hint="eastAsia" w:ascii="宋体" w:hAnsi="宋体" w:eastAsia="宋体" w:cs="宋体"/>
                <w:color w:val="000000"/>
                <w:kern w:val="0"/>
                <w:sz w:val="24"/>
                <w:szCs w:val="24"/>
                <w:u w:val="single"/>
                <w:shd w:val="clear" w:color="auto" w:fill="FFFFFF" w:themeFill="background1"/>
              </w:rPr>
              <w:t xml:space="preserve">  </w:t>
            </w:r>
            <w:r>
              <w:rPr>
                <w:rFonts w:hint="eastAsia" w:ascii="宋体" w:hAnsi="宋体" w:eastAsia="宋体" w:cs="宋体"/>
                <w:color w:val="000000"/>
                <w:kern w:val="0"/>
                <w:sz w:val="24"/>
                <w:szCs w:val="24"/>
                <w:shd w:val="clear" w:color="auto" w:fill="FFFFFF" w:themeFill="background1"/>
              </w:rPr>
              <w:t>日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地点：</w:t>
            </w:r>
            <w:r>
              <w:rPr>
                <w:rFonts w:hint="eastAsia" w:ascii="宋体" w:hAnsi="宋体" w:eastAsia="宋体" w:cs="宋体"/>
                <w:color w:val="000000"/>
                <w:kern w:val="0"/>
                <w:sz w:val="24"/>
                <w:szCs w:val="24"/>
                <w:u w:val="single"/>
                <w:shd w:val="clear" w:color="auto" w:fill="FFFFFF" w:themeFill="background1"/>
              </w:rPr>
              <w:t xml:space="preserve">                   </w:t>
            </w:r>
          </w:p>
        </w:tc>
        <w:tc>
          <w:tcPr>
            <w:tcW w:w="4258" w:type="dxa"/>
            <w:tcBorders>
              <w:tl2br w:val="nil"/>
              <w:tr2bl w:val="nil"/>
            </w:tcBorders>
          </w:tcPr>
          <w:p>
            <w:pPr>
              <w:widowControl/>
              <w:shd w:val="clear" w:color="auto" w:fill="FFFFFF" w:themeFill="background1"/>
              <w:wordWrap w:val="0"/>
              <w:spacing w:line="360" w:lineRule="auto"/>
              <w:rPr>
                <w:kern w:val="0"/>
                <w:sz w:val="24"/>
                <w:szCs w:val="24"/>
              </w:rPr>
            </w:pPr>
            <w:r>
              <w:rPr>
                <w:rFonts w:hint="eastAsia" w:ascii="宋体" w:hAnsi="宋体" w:eastAsia="宋体" w:cs="宋体"/>
                <w:color w:val="000000"/>
                <w:kern w:val="0"/>
                <w:sz w:val="24"/>
                <w:szCs w:val="24"/>
                <w:shd w:val="clear" w:color="auto" w:fill="FFFFFF" w:themeFill="background1"/>
              </w:rPr>
              <w:t>地点：</w:t>
            </w:r>
            <w:r>
              <w:rPr>
                <w:rFonts w:hint="eastAsia" w:ascii="宋体" w:hAnsi="宋体" w:eastAsia="宋体" w:cs="宋体"/>
                <w:color w:val="000000"/>
                <w:kern w:val="0"/>
                <w:sz w:val="24"/>
                <w:szCs w:val="24"/>
                <w:u w:val="single"/>
                <w:shd w:val="clear" w:color="auto" w:fill="FFFFFF" w:themeFill="background1"/>
              </w:rPr>
              <w:t xml:space="preserve">                   </w:t>
            </w:r>
          </w:p>
        </w:tc>
      </w:tr>
    </w:tbl>
    <w:p>
      <w:pPr>
        <w:shd w:val="clear" w:color="auto" w:fill="FFFFFF" w:themeFill="background1"/>
        <w:wordWrap w:val="0"/>
        <w:spacing w:line="360" w:lineRule="auto"/>
        <w:rPr>
          <w:rFonts w:ascii="宋体" w:hAnsi="宋体" w:eastAsia="宋体" w:cs="宋体"/>
          <w:sz w:val="24"/>
          <w:szCs w:val="24"/>
          <w:shd w:val="clear" w:color="auto" w:fill="FFFFFF" w:themeFill="background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0"/>
        <w:rFonts w:ascii="仿宋_GB2312"/>
        <w:sz w:val="28"/>
        <w:szCs w:val="28"/>
      </w:rPr>
    </w:pPr>
    <w:r>
      <w:rPr>
        <w:rStyle w:val="10"/>
        <w:rFonts w:hint="eastAsia" w:ascii="仿宋_GB2312"/>
        <w:sz w:val="28"/>
        <w:szCs w:val="28"/>
      </w:rPr>
      <w:t>—</w:t>
    </w:r>
    <w:r>
      <w:rPr>
        <w:rFonts w:hint="eastAsia" w:ascii="仿宋_GB2312"/>
        <w:sz w:val="28"/>
        <w:szCs w:val="28"/>
      </w:rPr>
      <w:fldChar w:fldCharType="begin"/>
    </w:r>
    <w:r>
      <w:rPr>
        <w:rStyle w:val="10"/>
        <w:rFonts w:hint="eastAsia" w:ascii="仿宋_GB2312"/>
        <w:sz w:val="28"/>
        <w:szCs w:val="28"/>
      </w:rPr>
      <w:instrText xml:space="preserve"> PAGE </w:instrText>
    </w:r>
    <w:r>
      <w:rPr>
        <w:rFonts w:hint="eastAsia" w:ascii="仿宋_GB2312"/>
        <w:sz w:val="28"/>
        <w:szCs w:val="28"/>
      </w:rPr>
      <w:fldChar w:fldCharType="separate"/>
    </w:r>
    <w:r>
      <w:rPr>
        <w:rStyle w:val="10"/>
        <w:rFonts w:ascii="仿宋_GB2312"/>
        <w:sz w:val="28"/>
        <w:szCs w:val="28"/>
      </w:rPr>
      <w:t>1</w:t>
    </w:r>
    <w:r>
      <w:rPr>
        <w:rFonts w:hint="eastAsia" w:ascii="仿宋_GB2312"/>
        <w:sz w:val="28"/>
        <w:szCs w:val="28"/>
      </w:rPr>
      <w:fldChar w:fldCharType="end"/>
    </w:r>
    <w:r>
      <w:rPr>
        <w:rStyle w:val="10"/>
        <w:rFonts w:hint="eastAsia" w:ascii="仿宋_GB2312"/>
        <w:sz w:val="28"/>
        <w:szCs w:val="28"/>
      </w:rPr>
      <w:t>—</w:t>
    </w:r>
  </w:p>
  <w:p>
    <w:pPr>
      <w:pStyle w:val="6"/>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50"/>
    <w:rsid w:val="00003962"/>
    <w:rsid w:val="000C3001"/>
    <w:rsid w:val="001156F7"/>
    <w:rsid w:val="00135462"/>
    <w:rsid w:val="0024121A"/>
    <w:rsid w:val="002702A4"/>
    <w:rsid w:val="00306250"/>
    <w:rsid w:val="00342A04"/>
    <w:rsid w:val="0039574F"/>
    <w:rsid w:val="003E7041"/>
    <w:rsid w:val="004B18FC"/>
    <w:rsid w:val="004B55B4"/>
    <w:rsid w:val="005856F3"/>
    <w:rsid w:val="005A4EEE"/>
    <w:rsid w:val="006247B9"/>
    <w:rsid w:val="0077690E"/>
    <w:rsid w:val="007811C2"/>
    <w:rsid w:val="00797A21"/>
    <w:rsid w:val="007B4B12"/>
    <w:rsid w:val="007D3786"/>
    <w:rsid w:val="008843FF"/>
    <w:rsid w:val="00896391"/>
    <w:rsid w:val="00933CA6"/>
    <w:rsid w:val="00977552"/>
    <w:rsid w:val="00986631"/>
    <w:rsid w:val="009D02EA"/>
    <w:rsid w:val="00A83E1E"/>
    <w:rsid w:val="00AC0DEF"/>
    <w:rsid w:val="00C1387B"/>
    <w:rsid w:val="00CB008C"/>
    <w:rsid w:val="00CF6B31"/>
    <w:rsid w:val="00D467F5"/>
    <w:rsid w:val="00DA1E5E"/>
    <w:rsid w:val="00EB58B5"/>
    <w:rsid w:val="00ED4DA9"/>
    <w:rsid w:val="00F80DB9"/>
    <w:rsid w:val="BF272CDA"/>
    <w:rsid w:val="DF6E025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3"/>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Body Text Indent"/>
    <w:basedOn w:val="1"/>
    <w:link w:val="14"/>
    <w:uiPriority w:val="0"/>
    <w:pPr>
      <w:ind w:left="360" w:firstLine="65"/>
    </w:pPr>
    <w:rPr>
      <w:rFonts w:ascii="Calibri" w:hAnsi="Calibri" w:eastAsia="宋体" w:cs="Times New Roman"/>
      <w:kern w:val="0"/>
      <w:sz w:val="20"/>
      <w:szCs w:val="20"/>
    </w:rPr>
  </w:style>
  <w:style w:type="paragraph" w:styleId="6">
    <w:name w:val="footer"/>
    <w:basedOn w:val="1"/>
    <w:link w:val="11"/>
    <w:uiPriority w:val="0"/>
    <w:pPr>
      <w:tabs>
        <w:tab w:val="center" w:pos="4153"/>
        <w:tab w:val="right" w:pos="8306"/>
      </w:tabs>
      <w:snapToGrid w:val="0"/>
      <w:spacing w:line="240" w:lineRule="atLeast"/>
      <w:ind w:firstLine="624"/>
      <w:jc w:val="left"/>
    </w:pPr>
    <w:rPr>
      <w:rFonts w:ascii="Times New Roman" w:hAnsi="Times New Roman" w:eastAsia="仿宋_GB2312" w:cs="Times New Roman"/>
      <w:sz w:val="18"/>
      <w:szCs w:val="20"/>
    </w:rPr>
  </w:style>
  <w:style w:type="table" w:styleId="8">
    <w:name w:val="Table Grid"/>
    <w:basedOn w:val="7"/>
    <w:uiPriority w:val="3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页脚 字符"/>
    <w:basedOn w:val="9"/>
    <w:link w:val="6"/>
    <w:uiPriority w:val="0"/>
    <w:rPr>
      <w:rFonts w:ascii="Times New Roman" w:hAnsi="Times New Roman" w:eastAsia="仿宋_GB2312" w:cs="Times New Roman"/>
      <w:sz w:val="18"/>
      <w:szCs w:val="20"/>
    </w:rPr>
  </w:style>
  <w:style w:type="character" w:customStyle="1" w:styleId="12">
    <w:name w:val="标题 2 字符"/>
    <w:basedOn w:val="9"/>
    <w:link w:val="2"/>
    <w:uiPriority w:val="9"/>
    <w:rPr>
      <w:rFonts w:asciiTheme="majorHAnsi" w:hAnsiTheme="majorHAnsi" w:eastAsiaTheme="majorEastAsia" w:cstheme="majorBidi"/>
      <w:b/>
      <w:bCs/>
      <w:sz w:val="32"/>
      <w:szCs w:val="32"/>
    </w:rPr>
  </w:style>
  <w:style w:type="character" w:customStyle="1" w:styleId="13">
    <w:name w:val="标题 3 字符"/>
    <w:basedOn w:val="9"/>
    <w:link w:val="3"/>
    <w:uiPriority w:val="0"/>
    <w:rPr>
      <w:b/>
      <w:bCs/>
      <w:sz w:val="32"/>
      <w:szCs w:val="32"/>
    </w:rPr>
  </w:style>
  <w:style w:type="character" w:customStyle="1" w:styleId="14">
    <w:name w:val="正文文本缩进 字符"/>
    <w:link w:val="5"/>
    <w:uiPriority w:val="99"/>
    <w:rPr>
      <w:rFonts w:ascii="Calibri" w:hAnsi="Calibri" w:eastAsia="宋体" w:cs="Times New Roman"/>
      <w:kern w:val="0"/>
      <w:sz w:val="20"/>
      <w:szCs w:val="20"/>
    </w:rPr>
  </w:style>
  <w:style w:type="character" w:customStyle="1" w:styleId="15">
    <w:name w:val="正文文本缩进 字符1"/>
    <w:basedOn w:val="9"/>
    <w:semiHidden/>
    <w:uiPriority w:val="99"/>
  </w:style>
  <w:style w:type="paragraph" w:styleId="16">
    <w:name w:val="List Paragraph"/>
    <w:basedOn w:val="1"/>
    <w:qFormat/>
    <w:uiPriority w:val="99"/>
    <w:pPr>
      <w:ind w:firstLine="420" w:firstLineChars="200"/>
    </w:pPr>
    <w:rPr>
      <w:rFonts w:ascii="Times New Roman" w:hAnsi="Times New Roman" w:eastAsia="宋体" w:cs="Times New Roman"/>
      <w:szCs w:val="24"/>
    </w:rPr>
  </w:style>
  <w:style w:type="paragraph" w:customStyle="1" w:styleId="17">
    <w:name w:val="列出段落1"/>
    <w:basedOn w:val="1"/>
    <w:qFormat/>
    <w:uiPriority w:val="99"/>
    <w:pPr>
      <w:ind w:firstLine="420" w:firstLineChars="200"/>
    </w:pPr>
    <w:rPr>
      <w:rFonts w:ascii="Times New Roman" w:hAnsi="Times New Roman" w:eastAsia="宋体" w:cs="Times New Roman"/>
      <w:szCs w:val="24"/>
    </w:rPr>
  </w:style>
  <w:style w:type="character" w:customStyle="1" w:styleId="18">
    <w:name w:val="标题 4 字符"/>
    <w:basedOn w:val="9"/>
    <w:link w:val="4"/>
    <w:uiPriority w:val="9"/>
    <w:rPr>
      <w:rFonts w:asciiTheme="majorHAnsi" w:hAnsiTheme="majorHAnsi" w:eastAsiaTheme="majorEastAsia" w:cstheme="majorBidi"/>
      <w:b/>
      <w:bCs/>
      <w:sz w:val="28"/>
      <w:szCs w:val="28"/>
    </w:rPr>
  </w:style>
  <w:style w:type="paragraph" w:customStyle="1" w:styleId="19">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20">
    <w:name w:val="p10"/>
    <w:basedOn w:val="9"/>
    <w:uiPriority w:val="0"/>
  </w:style>
  <w:style w:type="paragraph" w:customStyle="1" w:styleId="21">
    <w:name w:val="p0"/>
    <w:basedOn w:val="1"/>
    <w:qFormat/>
    <w:uiPriority w:val="0"/>
    <w:pPr>
      <w:widowControl/>
      <w:spacing w:before="100" w:beforeAutospacing="1" w:after="100" w:afterAutospacing="1"/>
      <w:jc w:val="left"/>
    </w:pPr>
    <w:rPr>
      <w:rFonts w:ascii="Times New Roman" w:hAnsi="Times New Roman" w:cs="Times New Roman"/>
      <w:kern w:val="0"/>
      <w:sz w:val="24"/>
      <w:szCs w:val="24"/>
    </w:rPr>
  </w:style>
  <w:style w:type="paragraph" w:customStyle="1" w:styleId="22">
    <w:name w:val="p17"/>
    <w:basedOn w:val="1"/>
    <w:uiPriority w:val="0"/>
    <w:pPr>
      <w:widowControl/>
      <w:spacing w:before="100" w:beforeAutospacing="1" w:after="100" w:afterAutospacing="1"/>
      <w:jc w:val="left"/>
    </w:pPr>
    <w:rPr>
      <w:rFonts w:ascii="Times New Roman" w:hAnsi="Times New Roman" w:cs="Times New Roman"/>
      <w:kern w:val="0"/>
      <w:sz w:val="24"/>
      <w:szCs w:val="24"/>
    </w:rPr>
  </w:style>
  <w:style w:type="paragraph" w:customStyle="1" w:styleId="23">
    <w:name w:val="彩色列表 - 着色 11"/>
    <w:basedOn w:val="1"/>
    <w:qFormat/>
    <w:uiPriority w:val="0"/>
    <w:pPr>
      <w:ind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518</Words>
  <Characters>2956</Characters>
  <Lines>24</Lines>
  <Paragraphs>6</Paragraphs>
  <TotalTime>0</TotalTime>
  <ScaleCrop>false</ScaleCrop>
  <LinksUpToDate>false</LinksUpToDate>
  <CharactersWithSpaces>3468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2019-03-22T18:32:00Z</dcterms:created>
  <dc:creator>雯 张</dc:creator>
  <cp:lastModifiedBy>雯 张</cp:lastModifiedBy>
  <dcterms:modified xsi:type="dcterms:W3CDTF">2020-05-28T11:14:34Z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