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3E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jc w:val="right"/>
        <w:rPr>
          <w:rFonts w:ascii="宋体" w:eastAsia="宋体"/>
          <w:sz w:val="24"/>
          <w:u w:val="single"/>
        </w:rPr>
      </w:pPr>
      <w:r w:rsidRPr="00675168">
        <w:rPr>
          <w:rFonts w:ascii="宋体" w:eastAsia="宋体" w:hint="eastAsia"/>
          <w:sz w:val="24"/>
        </w:rPr>
        <w:t>编号：</w:t>
      </w:r>
      <w:r w:rsidRPr="00675168">
        <w:rPr>
          <w:rFonts w:ascii="宋体" w:eastAsia="宋体" w:hint="eastAsia"/>
          <w:sz w:val="24"/>
          <w:u w:val="single"/>
        </w:rPr>
        <w:t xml:space="preserve">　　　　　　</w:t>
      </w:r>
    </w:p>
    <w:p w:rsidR="00493E3E" w:rsidRPr="00675168" w:rsidRDefault="00493E3E" w:rsidP="00493E3E">
      <w:pPr>
        <w:pStyle w:val="3"/>
      </w:pPr>
      <w:bookmarkStart w:id="0" w:name="_GoBack"/>
      <w:r w:rsidRPr="00675168">
        <w:t>上海市农村土地承包经营权流转合同</w:t>
      </w:r>
    </w:p>
    <w:bookmarkEnd w:id="0"/>
    <w:p w:rsidR="00493E3E" w:rsidRDefault="00493E3E" w:rsidP="005159F5">
      <w:pPr>
        <w:tabs>
          <w:tab w:val="left" w:pos="790"/>
        </w:tabs>
        <w:wordWrap w:val="0"/>
        <w:adjustRightInd w:val="0"/>
        <w:snapToGrid w:val="0"/>
        <w:spacing w:afterLines="100" w:after="312" w:line="360" w:lineRule="auto"/>
        <w:jc w:val="center"/>
        <w:rPr>
          <w:rFonts w:ascii="宋体" w:eastAsia="宋体"/>
          <w:b/>
        </w:rPr>
      </w:pPr>
      <w:r w:rsidRPr="00675168">
        <w:rPr>
          <w:rFonts w:ascii="宋体" w:eastAsia="宋体"/>
          <w:b/>
        </w:rPr>
        <w:t>（201</w:t>
      </w:r>
      <w:r w:rsidRPr="00675168">
        <w:rPr>
          <w:rFonts w:ascii="宋体" w:eastAsia="宋体" w:hint="eastAsia"/>
          <w:b/>
        </w:rPr>
        <w:t>6</w:t>
      </w:r>
      <w:r w:rsidRPr="00675168">
        <w:rPr>
          <w:rFonts w:ascii="宋体" w:eastAsia="宋体"/>
          <w:b/>
        </w:rPr>
        <w:t>版）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甲方（流出方）：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</w:t>
      </w:r>
    </w:p>
    <w:p w:rsidR="00493E3E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乙方（流入方）：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</w:t>
      </w:r>
    </w:p>
    <w:p w:rsidR="00493E3E" w:rsidRPr="00675168" w:rsidRDefault="00493E3E" w:rsidP="005159F5">
      <w:pPr>
        <w:wordWrap w:val="0"/>
        <w:adjustRightInd w:val="0"/>
        <w:snapToGrid w:val="0"/>
        <w:spacing w:beforeLines="100" w:before="312"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根据《中华人民共和国民法典》、《中华人民共和国农村土地承包法》的规定，本着平等、自愿的原则，甲乙双方就农村土地承包经营权流转事宜协商一致，订立本合同。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一、土地基本情况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该土地位于上海市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区（县）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乡（镇）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村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组（具体情况见下表）。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1524"/>
        <w:gridCol w:w="1076"/>
        <w:gridCol w:w="708"/>
        <w:gridCol w:w="708"/>
        <w:gridCol w:w="708"/>
        <w:gridCol w:w="708"/>
        <w:gridCol w:w="2142"/>
      </w:tblGrid>
      <w:tr w:rsidR="00493E3E" w:rsidRPr="00675168" w:rsidTr="005159F5">
        <w:trPr>
          <w:trHeight w:val="397"/>
          <w:jc w:val="center"/>
        </w:trPr>
        <w:tc>
          <w:tcPr>
            <w:tcW w:w="43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序号</w:t>
            </w:r>
          </w:p>
        </w:tc>
        <w:tc>
          <w:tcPr>
            <w:tcW w:w="919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地块名称</w:t>
            </w:r>
          </w:p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（地块编号）</w:t>
            </w:r>
          </w:p>
        </w:tc>
        <w:tc>
          <w:tcPr>
            <w:tcW w:w="649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面积</w:t>
            </w:r>
          </w:p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（亩）</w:t>
            </w:r>
          </w:p>
        </w:tc>
        <w:tc>
          <w:tcPr>
            <w:tcW w:w="1707" w:type="pct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四至</w:t>
            </w:r>
          </w:p>
        </w:tc>
        <w:tc>
          <w:tcPr>
            <w:tcW w:w="1293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b/>
                <w:bCs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sz w:val="24"/>
              </w:rPr>
              <w:t>土地承包经营权证或承包合同编号</w:t>
            </w: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vMerge/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919" w:type="pct"/>
            <w:vMerge/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vMerge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东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南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西</w:t>
            </w:r>
          </w:p>
        </w:tc>
        <w:tc>
          <w:tcPr>
            <w:tcW w:w="427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北</w:t>
            </w:r>
          </w:p>
        </w:tc>
        <w:tc>
          <w:tcPr>
            <w:tcW w:w="1293" w:type="pct"/>
            <w:vMerge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b/>
                <w:bCs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1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2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3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4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  <w:tr w:rsidR="00493E3E" w:rsidRPr="00675168" w:rsidTr="005159F5">
        <w:trPr>
          <w:trHeight w:val="397"/>
          <w:jc w:val="center"/>
        </w:trPr>
        <w:tc>
          <w:tcPr>
            <w:tcW w:w="43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  <w:r w:rsidRPr="00675168">
              <w:rPr>
                <w:rFonts w:ascii="宋体" w:eastAsia="宋体" w:hint="eastAsia"/>
                <w:kern w:val="0"/>
                <w:sz w:val="24"/>
              </w:rPr>
              <w:t>合计</w:t>
            </w:r>
          </w:p>
        </w:tc>
        <w:tc>
          <w:tcPr>
            <w:tcW w:w="91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64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42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  <w:tc>
          <w:tcPr>
            <w:tcW w:w="1293" w:type="pct"/>
            <w:tcMar>
              <w:left w:w="57" w:type="dxa"/>
              <w:right w:w="57" w:type="dxa"/>
            </w:tcMar>
            <w:vAlign w:val="center"/>
          </w:tcPr>
          <w:p w:rsidR="00493E3E" w:rsidRPr="00675168" w:rsidRDefault="00493E3E" w:rsidP="005159F5">
            <w:pPr>
              <w:widowControl/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/>
                <w:kern w:val="0"/>
                <w:sz w:val="24"/>
              </w:rPr>
            </w:pPr>
          </w:p>
        </w:tc>
      </w:tr>
    </w:tbl>
    <w:p w:rsidR="00493E3E" w:rsidRPr="00675168" w:rsidRDefault="00493E3E" w:rsidP="005159F5">
      <w:pPr>
        <w:wordWrap w:val="0"/>
        <w:adjustRightInd w:val="0"/>
        <w:snapToGrid w:val="0"/>
        <w:spacing w:before="240"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二、流转期限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流转期限：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日至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三、土地的用途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该土地以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方式流转给乙方经营，具体项目为：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</w:t>
      </w:r>
      <w:r w:rsidRPr="00675168">
        <w:rPr>
          <w:rFonts w:ascii="宋体" w:eastAsia="宋体" w:hint="eastAsia"/>
          <w:sz w:val="24"/>
        </w:rPr>
        <w:t>，流转期内，乙方不得擅自改变流转用途或用于非农建设。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四、土地交付时间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甲方应于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日前将流转土地交付乙方。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lastRenderedPageBreak/>
        <w:t>五、流转价款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双方同意选择以下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种方式确定。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1．流转单价为每年每亩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2．第一年流转单价为每亩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元；以后流转单价每年递增率为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％。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3．流转单价为每年每亩按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斤稻谷计算，第一年流转单价按当地政府收购指导价折合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元，年合计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元。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</w:t>
      </w:r>
      <w:proofErr w:type="gramStart"/>
      <w:r w:rsidRPr="00675168">
        <w:rPr>
          <w:rFonts w:ascii="宋体" w:eastAsia="宋体" w:hint="eastAsia"/>
          <w:sz w:val="24"/>
        </w:rPr>
        <w:t>其他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                         　　</w:t>
      </w:r>
      <w:proofErr w:type="gramStart"/>
      <w:r w:rsidRPr="005159F5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5159F5">
        <w:rPr>
          <w:rFonts w:ascii="宋体" w:eastAsia="宋体" w:hint="eastAsia"/>
          <w:sz w:val="24"/>
          <w:u w:val="single"/>
        </w:rPr>
        <w:t xml:space="preserve">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六、支付方式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双方同意流转价款按下列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种方式支付。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1．一次性支付：</w:t>
      </w:r>
      <w:proofErr w:type="gramStart"/>
      <w:r w:rsidRPr="00675168">
        <w:rPr>
          <w:rFonts w:ascii="宋体" w:eastAsia="宋体" w:hint="eastAsia"/>
          <w:sz w:val="24"/>
        </w:rPr>
        <w:t>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日前全部支付完毕。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2．分期支付：乙方应在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 </w:t>
      </w:r>
      <w:r w:rsidRPr="00675168">
        <w:rPr>
          <w:rFonts w:ascii="宋体" w:eastAsia="宋体" w:hint="eastAsia"/>
          <w:sz w:val="24"/>
        </w:rPr>
        <w:t>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日前向甲方支付第一年度流转价款，以后每年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日前付清该年度流转价款。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3．其它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　 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七、风险保障金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乙方应于本合同生效</w:t>
      </w:r>
      <w:proofErr w:type="gramStart"/>
      <w:r w:rsidRPr="00675168">
        <w:rPr>
          <w:rFonts w:ascii="宋体" w:eastAsia="宋体" w:hint="eastAsia"/>
          <w:sz w:val="24"/>
        </w:rPr>
        <w:t>后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日内向甲方支付</w:t>
      </w:r>
      <w:r w:rsidRPr="00675168">
        <w:rPr>
          <w:rFonts w:ascii="宋体" w:eastAsia="宋体" w:hint="eastAsia"/>
          <w:sz w:val="24"/>
          <w:u w:val="single"/>
        </w:rPr>
        <w:t xml:space="preserve">　　　</w:t>
      </w:r>
      <w:r w:rsidRPr="00675168">
        <w:rPr>
          <w:rFonts w:ascii="宋体" w:eastAsia="宋体" w:hint="eastAsia"/>
          <w:sz w:val="24"/>
        </w:rPr>
        <w:t>元作为本次农村土地流转风险保障金。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八、双方权利和义务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1．甲方有权获得流转收益，有权按照合同约定的期限到期收回流转的土地。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2．甲方有权要求乙方按约履行合同义务，有权监督乙方合理利用土地，制止乙方损坏土地和其他农业资源的行为。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3．流转土地被依法征收、征用、占用时，双方有权依法获得相应的补偿。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4．甲方尊重乙方的生产经营自主权，不得干涉乙方依法进行正常的生产经营活动。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5．甲方保证其流转的土地承包经营权合法、真实、有效。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6．乙方不得损害农田基础设施，不得从事掠夺性经营，不得给土地造成永久性损害。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7．未经甲方同意，乙方不得将土地再一次流转。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8．合同期满后，乙方的相关设施及地上附着物，双方同意按以下</w:t>
      </w:r>
      <w:proofErr w:type="gramStart"/>
      <w:r w:rsidRPr="00675168">
        <w:rPr>
          <w:rFonts w:ascii="宋体" w:eastAsia="宋体" w:hint="eastAsia"/>
          <w:sz w:val="24"/>
        </w:rPr>
        <w:t>第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种方式处理。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（1）归甲方所有，甲方不作补偿。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lastRenderedPageBreak/>
        <w:t>（2）双方协商通过折价方式由甲方给予乙方补偿，归甲方所有；协商不成的，由乙方</w:t>
      </w:r>
      <w:proofErr w:type="gramStart"/>
      <w:r w:rsidRPr="00675168">
        <w:rPr>
          <w:rFonts w:ascii="宋体" w:eastAsia="宋体" w:hint="eastAsia"/>
          <w:sz w:val="24"/>
        </w:rPr>
        <w:t>在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End"/>
      <w:r w:rsidRPr="00675168">
        <w:rPr>
          <w:rFonts w:ascii="宋体" w:eastAsia="宋体" w:hint="eastAsia"/>
          <w:sz w:val="24"/>
        </w:rPr>
        <w:t>日内拆除，恢复原状，甲方不作补偿。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9．流转土地交还时，双方关于土地恢复原状的约定：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九、违约责任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</w:t>
      </w:r>
      <w:r w:rsidRPr="00675168">
        <w:rPr>
          <w:rFonts w:ascii="宋体" w:eastAsia="宋体" w:hint="eastAsia"/>
          <w:spacing w:val="6"/>
          <w:sz w:val="24"/>
        </w:rPr>
        <w:t>乙方逾期支付流转费用的，每逾期一天，应向甲方支</w:t>
      </w:r>
      <w:r w:rsidRPr="00675168">
        <w:rPr>
          <w:rFonts w:ascii="宋体" w:eastAsia="宋体" w:hint="eastAsia"/>
          <w:sz w:val="24"/>
        </w:rPr>
        <w:t>付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元违约金。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2．甲方逾期交付土地的，每逾期一天，应向乙方支付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元违约金。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3．乙方擅自改变农业用途，甲方有权解除合同，并要求乙方恢复土地原状，乙方所交风险保障金不予退还。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4．发生下列情况之一，甲方有权解除合同，给甲方造成损失的，乙方应赔偿：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（1）违规使用禁止</w:t>
      </w:r>
      <w:proofErr w:type="gramStart"/>
      <w:r w:rsidRPr="00675168">
        <w:rPr>
          <w:rFonts w:ascii="宋体" w:eastAsia="宋体" w:hint="eastAsia"/>
          <w:sz w:val="24"/>
        </w:rPr>
        <w:t>性农业</w:t>
      </w:r>
      <w:proofErr w:type="gramEnd"/>
      <w:r w:rsidRPr="00675168">
        <w:rPr>
          <w:rFonts w:ascii="宋体" w:eastAsia="宋体" w:hint="eastAsia"/>
          <w:sz w:val="24"/>
        </w:rPr>
        <w:t>投入品；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（2）从事掠夺性经营，造成土地永久性损害的；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（3）流转土地后抛荒土地达到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r w:rsidRPr="00675168">
        <w:rPr>
          <w:rFonts w:ascii="宋体" w:eastAsia="宋体" w:hint="eastAsia"/>
          <w:sz w:val="24"/>
        </w:rPr>
        <w:t>月的。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5．</w:t>
      </w:r>
      <w:r w:rsidRPr="00675168">
        <w:rPr>
          <w:rFonts w:ascii="宋体" w:eastAsia="宋体" w:hint="eastAsia"/>
          <w:spacing w:val="-4"/>
          <w:sz w:val="24"/>
        </w:rPr>
        <w:t>甲方非法干预乙方正常生产经营活动，给乙方造成损失的，</w:t>
      </w:r>
      <w:r w:rsidRPr="00675168">
        <w:rPr>
          <w:rFonts w:ascii="宋体" w:eastAsia="宋体" w:hint="eastAsia"/>
          <w:sz w:val="24"/>
        </w:rPr>
        <w:t>应予以赔偿。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6．其他违约责任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　　　　　　　　　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  <w:u w:val="single"/>
        </w:rPr>
        <w:t xml:space="preserve">　 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十、其他约定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1．在本合同履行期间，若土地承包经营权灭失的，双方约定按照以下方式处理：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</w:t>
      </w:r>
      <w:r w:rsidRPr="00675168">
        <w:rPr>
          <w:rFonts w:ascii="宋体" w:eastAsia="宋体" w:hint="eastAsia"/>
          <w:sz w:val="24"/>
          <w:u w:val="single"/>
        </w:rPr>
        <w:t xml:space="preserve">　　　　　　　　　　　　　　　　　　　　　　　　　　　　　　　　　　　　　　　　　　　　　　</w:t>
      </w:r>
      <w:r w:rsidRPr="00675168">
        <w:rPr>
          <w:rFonts w:ascii="宋体" w:eastAsia="宋体" w:hint="eastAsia"/>
          <w:sz w:val="24"/>
        </w:rPr>
        <w:t>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十一、争议解决方式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双方发生争议的，可以自行和解，也可以请求村民委员会、乡（镇）人民政府等调解。双方和解、调解不成或者不愿和解、调解的，可以向</w:t>
      </w:r>
      <w:r w:rsidRPr="00675168">
        <w:rPr>
          <w:rFonts w:ascii="宋体" w:eastAsia="宋体" w:hint="eastAsia"/>
          <w:sz w:val="24"/>
          <w:u w:val="single"/>
        </w:rPr>
        <w:t xml:space="preserve">　　</w:t>
      </w:r>
      <w:proofErr w:type="gramStart"/>
      <w:r w:rsidRPr="00675168">
        <w:rPr>
          <w:rFonts w:ascii="宋体" w:eastAsia="宋体" w:hint="eastAsia"/>
          <w:sz w:val="24"/>
          <w:u w:val="single"/>
        </w:rPr>
        <w:t xml:space="preserve">　</w:t>
      </w:r>
      <w:proofErr w:type="gramEnd"/>
      <w:r w:rsidRPr="00675168">
        <w:rPr>
          <w:rFonts w:ascii="宋体" w:eastAsia="宋体" w:hint="eastAsia"/>
          <w:sz w:val="24"/>
        </w:rPr>
        <w:t>区（县）农村土地承包仲裁委员会申请仲裁，也可以直接向人民法院提起诉讼。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/>
          <w:b/>
          <w:sz w:val="24"/>
        </w:rPr>
      </w:pPr>
      <w:r w:rsidRPr="00675168">
        <w:rPr>
          <w:rFonts w:ascii="宋体" w:eastAsia="宋体" w:hint="eastAsia"/>
          <w:b/>
          <w:sz w:val="24"/>
        </w:rPr>
        <w:t>十二、附则</w:t>
      </w:r>
    </w:p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1．本合同自甲乙双方签字或盖章之日起生效。</w:t>
      </w:r>
    </w:p>
    <w:p w:rsidR="00493E3E" w:rsidRPr="00675168" w:rsidRDefault="00493E3E" w:rsidP="005159F5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/>
          <w:sz w:val="24"/>
        </w:rPr>
      </w:pPr>
      <w:r w:rsidRPr="00675168">
        <w:rPr>
          <w:rFonts w:ascii="宋体" w:eastAsia="宋体" w:hint="eastAsia"/>
          <w:sz w:val="24"/>
        </w:rPr>
        <w:t>2．本合同一式四份，双方各执一份，发包方和乡（镇、街道）农村土地承包管理部门各备案一份。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甲　　方：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乙　　方：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5159F5" w:rsidTr="00D8738E">
        <w:trPr>
          <w:trHeight w:val="944"/>
        </w:trPr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D8738E">
              <w:rPr>
                <w:rFonts w:ascii="宋体" w:eastAsia="宋体" w:hint="eastAsia"/>
                <w:sz w:val="24"/>
              </w:rPr>
              <w:lastRenderedPageBreak/>
              <w:t>身份证号：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  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  <w:u w:val="single"/>
              </w:rPr>
            </w:pPr>
            <w:r w:rsidRPr="00D8738E">
              <w:rPr>
                <w:rFonts w:ascii="宋体" w:eastAsia="宋体" w:hint="eastAsia"/>
                <w:sz w:val="24"/>
              </w:rPr>
              <w:t>身份证号（</w:t>
            </w:r>
            <w:r>
              <w:rPr>
                <w:rFonts w:ascii="宋体" w:eastAsia="宋体" w:hint="eastAsia"/>
                <w:sz w:val="24"/>
              </w:rPr>
              <w:t>统一社会信用代码</w:t>
            </w:r>
            <w:r w:rsidRPr="00D8738E">
              <w:rPr>
                <w:rFonts w:ascii="宋体" w:eastAsia="宋体" w:hint="eastAsia"/>
                <w:sz w:val="24"/>
              </w:rPr>
              <w:t>）：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 </w:t>
            </w:r>
          </w:p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      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签约日期：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签约日期：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　　</w:t>
            </w: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丙方（</w:t>
            </w:r>
            <w:proofErr w:type="gramStart"/>
            <w:r w:rsidRPr="00D8738E">
              <w:rPr>
                <w:rFonts w:ascii="宋体" w:eastAsia="宋体" w:hint="eastAsia"/>
                <w:sz w:val="24"/>
              </w:rPr>
              <w:t>鉴证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）：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 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住　　址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r w:rsidRPr="00D8738E">
              <w:rPr>
                <w:rFonts w:ascii="宋体" w:eastAsia="宋体" w:hint="eastAsia"/>
                <w:sz w:val="24"/>
              </w:rPr>
              <w:t>联系方式：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  <w:tr w:rsidR="00493E3E" w:rsidRPr="00D8738E" w:rsidTr="00D8738E"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  <w:proofErr w:type="gramStart"/>
            <w:r w:rsidRPr="00D8738E">
              <w:rPr>
                <w:rFonts w:ascii="宋体" w:eastAsia="宋体" w:hint="eastAsia"/>
                <w:sz w:val="24"/>
              </w:rPr>
              <w:t>鉴证</w:t>
            </w:r>
            <w:proofErr w:type="gramEnd"/>
            <w:r w:rsidRPr="00D8738E">
              <w:rPr>
                <w:rFonts w:ascii="宋体" w:eastAsia="宋体" w:hint="eastAsia"/>
                <w:sz w:val="24"/>
              </w:rPr>
              <w:t>日期：</w:t>
            </w:r>
            <w:r w:rsidRPr="00D8738E">
              <w:rPr>
                <w:rFonts w:ascii="宋体" w:eastAsia="宋体" w:hint="eastAsia"/>
                <w:sz w:val="24"/>
                <w:u w:val="single"/>
              </w:rPr>
              <w:t xml:space="preserve">　　　　　　　　</w:t>
            </w:r>
          </w:p>
        </w:tc>
        <w:tc>
          <w:tcPr>
            <w:tcW w:w="4261" w:type="dxa"/>
            <w:shd w:val="clear" w:color="auto" w:fill="auto"/>
          </w:tcPr>
          <w:p w:rsidR="00493E3E" w:rsidRPr="00D8738E" w:rsidRDefault="00493E3E" w:rsidP="005159F5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/>
                <w:sz w:val="24"/>
              </w:rPr>
            </w:pPr>
          </w:p>
        </w:tc>
      </w:tr>
    </w:tbl>
    <w:p w:rsidR="00493E3E" w:rsidRPr="00675168" w:rsidRDefault="00493E3E" w:rsidP="005159F5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/>
          <w:sz w:val="24"/>
        </w:rPr>
      </w:pPr>
    </w:p>
    <w:sectPr w:rsidR="00493E3E" w:rsidRPr="00675168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493E3E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493E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493E3E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493E3E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93E3E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C21649"/>
    <w:rsid w:val="00C23680"/>
    <w:rsid w:val="00C5779D"/>
    <w:rsid w:val="00CA4693"/>
    <w:rsid w:val="00CB54AB"/>
    <w:rsid w:val="00CF292C"/>
    <w:rsid w:val="00D1123E"/>
    <w:rsid w:val="00D353C5"/>
    <w:rsid w:val="00D63E7D"/>
    <w:rsid w:val="00D65371"/>
    <w:rsid w:val="00DC59C1"/>
    <w:rsid w:val="00EB74A9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5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2019-03-21T01:15:00Z</dcterms:created>
  <dcterms:modified xsi:type="dcterms:W3CDTF">2019-03-21T01:15:00Z</dcterms:modified>
</cp:coreProperties>
</file>