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D8" w:rsidRDefault="004429D8" w:rsidP="007C0BEA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7C0BEA">
        <w:rPr>
          <w:rFonts w:ascii="宋体" w:eastAsia="宋体" w:hAnsi="宋体" w:hint="eastAsia"/>
          <w:bCs/>
          <w:sz w:val="24"/>
        </w:rPr>
        <w:t>合同编号</w:t>
      </w:r>
      <w:r w:rsidRPr="007C0BEA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4429D8" w:rsidRPr="00385C1E" w:rsidRDefault="004429D8" w:rsidP="004429D8">
      <w:pPr>
        <w:pStyle w:val="3"/>
      </w:pPr>
      <w:bookmarkStart w:id="0" w:name="_GoBack"/>
      <w:r w:rsidRPr="00385C1E">
        <w:rPr>
          <w:rFonts w:hint="eastAsia"/>
        </w:rPr>
        <w:t>上海市农作物种子繁殖制种收购合同</w:t>
      </w:r>
    </w:p>
    <w:bookmarkEnd w:id="0"/>
    <w:p w:rsidR="004429D8" w:rsidRPr="007C0BEA" w:rsidRDefault="004429D8" w:rsidP="007C0BEA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收购方（甲方）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</w:t>
      </w:r>
    </w:p>
    <w:p w:rsidR="004429D8" w:rsidRDefault="004429D8" w:rsidP="007C0BEA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繁殖方（乙方）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</w:t>
      </w:r>
    </w:p>
    <w:p w:rsidR="004429D8" w:rsidRPr="007C0BEA" w:rsidRDefault="004429D8" w:rsidP="00385C1E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根据《中华人民共和国民法典》、《中华人民共和国种子法》及相关法律法规规定，为明确双方权利义务，经双方协商一致，达成如下协议。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923"/>
        <w:gridCol w:w="768"/>
        <w:gridCol w:w="1843"/>
        <w:gridCol w:w="1382"/>
        <w:gridCol w:w="1075"/>
        <w:gridCol w:w="1384"/>
      </w:tblGrid>
      <w:tr w:rsidR="004429D8" w:rsidRPr="007C0BEA" w:rsidTr="00075B15">
        <w:trPr>
          <w:cantSplit/>
          <w:trHeight w:val="567"/>
          <w:jc w:val="center"/>
        </w:trPr>
        <w:tc>
          <w:tcPr>
            <w:tcW w:w="555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56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46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1111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数量（公斤）</w:t>
            </w:r>
          </w:p>
        </w:tc>
        <w:tc>
          <w:tcPr>
            <w:tcW w:w="83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面积（亩）</w:t>
            </w:r>
          </w:p>
        </w:tc>
        <w:tc>
          <w:tcPr>
            <w:tcW w:w="648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单价（元）</w:t>
            </w:r>
          </w:p>
        </w:tc>
        <w:tc>
          <w:tcPr>
            <w:tcW w:w="833" w:type="pct"/>
            <w:vMerge w:val="restar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总金额（元）</w:t>
            </w:r>
          </w:p>
        </w:tc>
      </w:tr>
      <w:tr w:rsidR="004429D8" w:rsidRPr="007C0BEA" w:rsidTr="00075B15">
        <w:trPr>
          <w:cantSplit/>
          <w:trHeight w:val="567"/>
          <w:jc w:val="center"/>
        </w:trPr>
        <w:tc>
          <w:tcPr>
            <w:tcW w:w="555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Merge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trHeight w:val="567"/>
          <w:jc w:val="center"/>
        </w:trPr>
        <w:tc>
          <w:tcPr>
            <w:tcW w:w="555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trHeight w:val="567"/>
          <w:jc w:val="center"/>
        </w:trPr>
        <w:tc>
          <w:tcPr>
            <w:tcW w:w="555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46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111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48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4429D8" w:rsidRPr="007C0BEA" w:rsidTr="00075B15">
        <w:trPr>
          <w:cantSplit/>
          <w:trHeight w:val="567"/>
          <w:jc w:val="center"/>
        </w:trPr>
        <w:tc>
          <w:tcPr>
            <w:tcW w:w="5000" w:type="pct"/>
            <w:gridSpan w:val="7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4429D8" w:rsidRPr="007C0BEA" w:rsidRDefault="004429D8" w:rsidP="007C0BEA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第二条  质量标准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"/>
        <w:gridCol w:w="923"/>
        <w:gridCol w:w="1382"/>
        <w:gridCol w:w="1040"/>
        <w:gridCol w:w="1123"/>
        <w:gridCol w:w="1123"/>
        <w:gridCol w:w="1782"/>
      </w:tblGrid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发芽率（%）</w:t>
            </w: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纯度（%）</w:t>
            </w: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净度（%）</w:t>
            </w: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含水量（%）</w:t>
            </w: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sz w:val="24"/>
              </w:rPr>
            </w:pPr>
            <w:r w:rsidRPr="007C0BEA">
              <w:rPr>
                <w:rFonts w:ascii="宋体" w:eastAsia="宋体" w:hAnsi="宋体" w:hint="eastAsia"/>
                <w:sz w:val="24"/>
              </w:rPr>
              <w:t>其它</w:t>
            </w: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  <w:tr w:rsidR="004429D8" w:rsidRPr="007C0BEA" w:rsidTr="00075B15">
        <w:trPr>
          <w:trHeight w:val="482"/>
          <w:jc w:val="center"/>
        </w:trPr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556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833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2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677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  <w:tc>
          <w:tcPr>
            <w:tcW w:w="1074" w:type="pct"/>
            <w:vAlign w:val="center"/>
          </w:tcPr>
          <w:p w:rsidR="004429D8" w:rsidRPr="007C0BEA" w:rsidRDefault="004429D8" w:rsidP="007C0BEA">
            <w:pPr>
              <w:adjustRightInd w:val="0"/>
              <w:snapToGrid w:val="0"/>
              <w:jc w:val="center"/>
              <w:rPr>
                <w:rFonts w:ascii="宋体" w:eastAsia="宋体" w:hAnsi="宋体"/>
                <w:b/>
                <w:color w:val="000000"/>
                <w:sz w:val="24"/>
              </w:rPr>
            </w:pPr>
          </w:p>
        </w:tc>
      </w:tr>
    </w:tbl>
    <w:p w:rsidR="004429D8" w:rsidRPr="007C0BEA" w:rsidRDefault="004429D8" w:rsidP="007C0BEA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第三条  繁殖要求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1．乙方应具备农作物种子生产的环境、技术及相关许可证明文件。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2．甲方有偿提供符合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7C0BEA">
        <w:rPr>
          <w:rFonts w:ascii="宋体" w:eastAsia="宋体" w:hAnsi="宋体" w:hint="eastAsia"/>
          <w:sz w:val="24"/>
        </w:rPr>
        <w:t>标准的原种（亲本），价格为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</w:t>
      </w:r>
      <w:r w:rsidRPr="007C0BEA">
        <w:rPr>
          <w:rFonts w:ascii="宋体" w:eastAsia="宋体" w:hAnsi="宋体" w:hint="eastAsia"/>
          <w:sz w:val="24"/>
        </w:rPr>
        <w:t>元/公斤，合计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7C0BEA">
        <w:rPr>
          <w:rFonts w:ascii="宋体" w:eastAsia="宋体" w:hAnsi="宋体" w:hint="eastAsia"/>
          <w:sz w:val="24"/>
        </w:rPr>
        <w:t>元，价款按下列第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种方式支付：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（1）乙方于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日前一次付清。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（2）于交货时在收购价款中抵扣。</w:t>
      </w:r>
    </w:p>
    <w:p w:rsidR="004429D8" w:rsidRPr="007C0BEA" w:rsidRDefault="004429D8" w:rsidP="007C0BEA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lastRenderedPageBreak/>
        <w:t>3．技术服务及保密要求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第四条  交货及运输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1．交货时间：乙方应在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日前将繁殖收获的全部种子交付甲方。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2．交货地点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3．包装及运输方式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第五条  验收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1．甲方应对种子进行验收，如发现种子数量、质量（发芽率、净度、含水量）不符合合同约定，应在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日内提出异议；如发现种子纯度不符合合同约定，应在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日内提出异议，乙方应在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日内处理。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2．双方对种子同时取样、各自封存，样品保存至生产收获。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第六条  付款方式及期限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选择下列第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种方式执行：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1．甲方于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</w:t>
      </w:r>
      <w:r w:rsidRPr="007C0BEA">
        <w:rPr>
          <w:rFonts w:ascii="宋体" w:eastAsia="宋体" w:hAnsi="宋体" w:hint="eastAsia"/>
          <w:sz w:val="24"/>
        </w:rPr>
        <w:t>年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月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日支付价款。甲方付款后，乙方应当开具销售凭证。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2．其他付款方式及期限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第七条  违约责任</w:t>
      </w:r>
    </w:p>
    <w:p w:rsidR="004429D8" w:rsidRPr="007C0BEA" w:rsidRDefault="004429D8" w:rsidP="007C0BEA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1．一</w:t>
      </w:r>
      <w:r w:rsidRPr="007C0BEA">
        <w:rPr>
          <w:rFonts w:ascii="宋体" w:eastAsia="宋体" w:hAnsi="宋体" w:hint="eastAsia"/>
          <w:spacing w:val="4"/>
          <w:sz w:val="24"/>
        </w:rPr>
        <w:t>方迟延交货或迟延支付收购款的，应当每日按照迟延部分价</w:t>
      </w:r>
      <w:r w:rsidRPr="007C0BEA">
        <w:rPr>
          <w:rFonts w:ascii="宋体" w:eastAsia="宋体" w:hAnsi="宋体" w:hint="eastAsia"/>
          <w:sz w:val="24"/>
        </w:rPr>
        <w:t>款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%的标准向对方支付违约金。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2．甲方提供的原种（亲本）不符合质量标准的，乙方有权要求甲方赔偿相应损失。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3．甲方未按约定收购符合要求的种子的，应按照每亩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</w:t>
      </w:r>
      <w:r w:rsidRPr="007C0BEA">
        <w:rPr>
          <w:rFonts w:ascii="宋体" w:eastAsia="宋体" w:hAnsi="宋体" w:hint="eastAsia"/>
          <w:sz w:val="24"/>
        </w:rPr>
        <w:t>元的标准向乙方支付违约金。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4．乙方交付的种子不符合约定质量的，甲方有权要求乙方赔偿相应损失。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5．乙方故意不交付种子的，或擅自将种子或原种（亲本）出售给他人的，应按照每亩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</w:t>
      </w:r>
      <w:r w:rsidRPr="007C0BEA">
        <w:rPr>
          <w:rFonts w:ascii="宋体" w:eastAsia="宋体" w:hAnsi="宋体" w:hint="eastAsia"/>
          <w:sz w:val="24"/>
        </w:rPr>
        <w:t>元的标准支付违约金。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6．其他违约责任</w:t>
      </w: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第八条  其他约定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</w:t>
      </w:r>
      <w:r w:rsidRPr="007C0BEA">
        <w:rPr>
          <w:rFonts w:ascii="宋体" w:eastAsia="宋体" w:hAnsi="宋体" w:hint="eastAsia"/>
          <w:sz w:val="24"/>
          <w:u w:val="single"/>
        </w:rPr>
        <w:lastRenderedPageBreak/>
        <w:t xml:space="preserve">                               </w:t>
      </w:r>
      <w:r w:rsidRPr="007C0BEA">
        <w:rPr>
          <w:rFonts w:ascii="宋体" w:eastAsia="宋体" w:hAnsi="宋体" w:hint="eastAsia"/>
          <w:sz w:val="24"/>
        </w:rPr>
        <w:t>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第九条  争议解决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发生的争议，由双方协商解决；也可以请求调解；或选择以下第</w:t>
      </w:r>
      <w:r w:rsidRPr="007C0BEA">
        <w:rPr>
          <w:rFonts w:ascii="宋体" w:eastAsia="宋体" w:hAnsi="宋体" w:hint="eastAsia"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sz w:val="24"/>
        </w:rPr>
        <w:t>种方式解决：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1．提交上海仲裁委员会仲裁。</w:t>
      </w:r>
    </w:p>
    <w:p w:rsidR="004429D8" w:rsidRPr="007C0BEA" w:rsidRDefault="004429D8" w:rsidP="007C0BEA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7C0BEA">
        <w:rPr>
          <w:rFonts w:ascii="宋体" w:eastAsia="宋体" w:hAnsi="宋体" w:hint="eastAsia"/>
          <w:sz w:val="24"/>
        </w:rPr>
        <w:t>2．依法向人民法院提起诉讼。</w:t>
      </w:r>
    </w:p>
    <w:p w:rsidR="004429D8" w:rsidRPr="007C0BEA" w:rsidRDefault="004429D8" w:rsidP="00385C1E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7C0BEA">
        <w:rPr>
          <w:rFonts w:ascii="宋体" w:eastAsia="宋体" w:hAnsi="宋体" w:hint="eastAsia"/>
          <w:b/>
          <w:sz w:val="24"/>
        </w:rPr>
        <w:t>第十条  本合同自双方签字（盖章）之日起生效。未尽事宜，由双方共同协商签订补充协议。本合同一式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份，甲方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份，乙方</w:t>
      </w:r>
      <w:r w:rsidRPr="007C0BEA">
        <w:rPr>
          <w:rFonts w:ascii="宋体" w:eastAsia="宋体" w:hAnsi="宋体" w:hint="eastAsia"/>
          <w:b/>
          <w:sz w:val="24"/>
          <w:u w:val="single"/>
        </w:rPr>
        <w:t xml:space="preserve">    </w:t>
      </w:r>
      <w:r w:rsidRPr="007C0BEA">
        <w:rPr>
          <w:rFonts w:ascii="宋体" w:eastAsia="宋体" w:hAnsi="宋体" w:hint="eastAsia"/>
          <w:b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卖方（甲方）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买方（乙方）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营业执照注册号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营业执照注册号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法定代表人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法定代表人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委托代理人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委托代理人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地    址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地址（住址）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开户银行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开户银行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账    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账    号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联系电话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联系电话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签订地点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签订地点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429D8" w:rsidRPr="00627F9D" w:rsidTr="00075B15"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签订时间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627F9D">
              <w:rPr>
                <w:rFonts w:ascii="宋体" w:eastAsia="宋体" w:hAnsi="宋体" w:hint="eastAsia"/>
                <w:sz w:val="24"/>
              </w:rPr>
              <w:t>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月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4429D8" w:rsidRPr="00627F9D" w:rsidRDefault="004429D8" w:rsidP="00627F9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27F9D">
              <w:rPr>
                <w:rFonts w:ascii="宋体" w:eastAsia="宋体" w:hAnsi="宋体" w:hint="eastAsia"/>
                <w:sz w:val="24"/>
              </w:rPr>
              <w:t>签订时间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627F9D">
              <w:rPr>
                <w:rFonts w:ascii="宋体" w:eastAsia="宋体" w:hAnsi="宋体" w:hint="eastAsia"/>
                <w:sz w:val="24"/>
              </w:rPr>
              <w:t>年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月</w:t>
            </w:r>
            <w:r w:rsidRPr="00627F9D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627F9D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4429D8" w:rsidRPr="007C0BEA" w:rsidRDefault="004429D8" w:rsidP="007C0BEA">
      <w:pPr>
        <w:tabs>
          <w:tab w:val="left" w:pos="455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4429D8" w:rsidRPr="007C0BEA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429D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429D8"/>
    <w:rsid w:val="0044714F"/>
    <w:rsid w:val="00460A07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2019-03-21T06:53:00Z</dcterms:created>
  <dcterms:modified xsi:type="dcterms:W3CDTF">2019-03-21T06:53:00Z</dcterms:modified>
</cp:coreProperties>
</file>