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小市政工程合同</w:t>
      </w:r>
    </w:p>
    <w:p>
      <w:pPr>
        <w:pStyle w:val="3"/>
        <w:keepNext w:val="0"/>
        <w:keepLines w:val="0"/>
        <w:widowControl/>
        <w:numPr>
          <w:ilvl w:val="0"/>
          <w:numId w:val="1"/>
        </w:numPr>
        <w:suppressLineNumbers w:val="0"/>
        <w:jc w:val="center"/>
        <w:rPr>
          <w:rFonts w:hint="eastAsia" w:ascii="宋体" w:hAnsi="宋体" w:eastAsia="宋体" w:cs="宋体"/>
          <w:b/>
          <w:sz w:val="28"/>
          <w:szCs w:val="28"/>
        </w:rPr>
      </w:pPr>
      <w:r>
        <w:rPr>
          <w:rFonts w:hint="eastAsia" w:ascii="宋体" w:hAnsi="宋体" w:eastAsia="宋体" w:cs="宋体"/>
          <w:b/>
          <w:sz w:val="28"/>
          <w:szCs w:val="28"/>
        </w:rPr>
        <w:t>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承包方式、承包范围及界面划分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承包方式：包工包料（包括但不限于：包机械设备、包质量、包工期、包安全、包文明施工、包验收等所有与本工程相关的一切工作内容）。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项目室外小市政施工图纸范围内，小市政工程材料设备供应、安装、调试、验收等一切工作。包括但不限于：室外沥青道路（包含路牙石及雨水篦子施工）、室外雨水系统、雨水收集系统、室外污水系统、室外中水系统、室外给水（高区加压给水）管线、室外消防加压管线系统、室外热力系统等专业管线的管沟开挖及回填、管线敷设、小市政工程范围内的井室升降（升降至设计标高）、构筑物设置、附属设备及配件安装、警示标志的设置等按照施工图纸施工到位及施工产生的垃圾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（1）雨水系统：施工图纸范围内雨水管线、雨水检查、雨水调蓄池及雨水收集口等材料设备及构筑物的供应及安装；包含同室内雨水系统的连接、包含同大市政雨水预留检查井的连接。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（2）污水系统：施工图纸范围内污水管线、污水检查井及化粪池等构筑物的供应及安装，包含同室内污水系统的连接、包含同大市政污水预留检查井的连接。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（3）消防加压系统：施工图纸范围内室外消防加压系统管线、检查井等构筑物及设备的供应及安装，包含同与室内管线的连接。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水系统：施工图纸范围内中水管线、阀门井及井内设备、水表井及井内设备的供应安装，包含同室内中水管道的连接、包含同大市政水表井（阀门井）的连接。另：由于市政中水管线暂无水源，中水系统增加与给水系统连接线及阀门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（5）高区加压给水系统：施工图纸范围内室外高区加压给水系统管线、检查井等构筑物及设备的供应及安装，包含同与室内管线的连接。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（6）室外热力系统：施工图纸范围内管线、检查井等构筑物及设备的供应及安装，包括与室内管线连接。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（7）雨水收集系统：施工图纸范围内该系统所有管线、设备、装置、检查井等供应及安装。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所有施工组织设计、协调、配合、施工、测量、验收、与上游大市政所属专业公司协调接口、通过卫生检疫验收、各系统管网管道与楼内出户管接驳、与大市政管线的接驳，直至本工程竣工交付使用。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系统管网施工所涉及的土建工程施工，如土方的挖填运弃等（乙方需要现场勘查，施工时充分考虑对施工范围周边的建筑物予以保护）；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配合各个专业管线连接及大市政的破路、修复等工作；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道路施工内容包括土方、道路基层、面层、路缘石等；需现场踏勘，充分考虑现场条件及地勘情况。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界面划分：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总包与小市政分包界面</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56"/>
        <w:gridCol w:w="3446"/>
        <w:gridCol w:w="4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w:t>
            </w:r>
          </w:p>
        </w:tc>
        <w:tc>
          <w:tcPr>
            <w:tcW w:w="34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w:t>
            </w:r>
          </w:p>
        </w:tc>
        <w:tc>
          <w:tcPr>
            <w:tcW w:w="41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雨污水、中水、高区给水、消防加压、热力等</w:t>
            </w:r>
          </w:p>
        </w:tc>
        <w:tc>
          <w:tcPr>
            <w:tcW w:w="34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雨水、污水、中水、消防、给水、热力等出户管出建筑外墙1.5米处、有车库的出车库1.5米。（总包施工管线需超出门头及台阶坡道等范围）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雨水收集系统控制柜的电源及电源线由总包施工。</w:t>
            </w:r>
          </w:p>
        </w:tc>
        <w:tc>
          <w:tcPr>
            <w:tcW w:w="41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中水系统、雨水系统、污水系统、消防加压系统、高区加压给水、热力等室外部分构筑物及设备的供应、安装及调试施工；设备总控制箱上口至甲方提供的电源点之间的管线接驳。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小市政雨污水系统等管路的沟槽开挖、管道敷设、检查井的砌筑、闭水试验、管路冲洗、井盖安装、沟槽回填以及与现状大市政管线的接头施工、验收等工作；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雨水收集系统及控制柜由小市政单位供货安装。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园林单位与小市政分包界面</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38"/>
        <w:gridCol w:w="4089"/>
        <w:gridCol w:w="4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w:t>
            </w:r>
          </w:p>
        </w:tc>
        <w:tc>
          <w:tcPr>
            <w:tcW w:w="40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景观单位</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室外小市政管线</w:t>
            </w:r>
          </w:p>
        </w:tc>
        <w:tc>
          <w:tcPr>
            <w:tcW w:w="40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负责将景观（铺装路面、绿化、水景）排水接至室外雨水检查井（包括连接管施工）；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负责景观范围内雨水沟等砌筑、装饰井盖的制作及各种雨水口等构筑物的装饰、升降；3.景观单位负责接驳水表井后管线施工。</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负责小市政施工图纸中检查井、雨水口及连接管施工。（园区沥青道路标高、施工范围、雨水口位置施工前需与园林单位最终确认）；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负责景观图纸中的沥青路面检查井、雨水口及连接管施工；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负责景观用水接驳水表井（包括水表、阀门）。</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其他补充条款：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处罚措施：未能一次性达到工程质量标准则按合同总价的</w:t>
      </w:r>
      <w:r>
        <w:rPr>
          <w:rFonts w:hint="eastAsia" w:ascii="宋体" w:hAnsi="宋体" w:eastAsia="宋体" w:cs="宋体"/>
          <w:sz w:val="24"/>
          <w:szCs w:val="24"/>
          <w:u w:val="single"/>
        </w:rPr>
        <w:t>   5%   </w:t>
      </w:r>
      <w:r>
        <w:rPr>
          <w:rFonts w:hint="eastAsia" w:ascii="宋体" w:hAnsi="宋体" w:eastAsia="宋体" w:cs="宋体"/>
          <w:sz w:val="24"/>
          <w:szCs w:val="24"/>
        </w:rPr>
        <w:t>予以处罚。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具体要求详见专用条款。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本合同计价形式为</w:t>
      </w:r>
      <w:r>
        <w:rPr>
          <w:rFonts w:hint="eastAsia" w:ascii="宋体" w:hAnsi="宋体" w:eastAsia="宋体" w:cs="宋体"/>
          <w:sz w:val="24"/>
          <w:szCs w:val="24"/>
          <w:u w:val="single"/>
        </w:rPr>
        <w:t>    </w:t>
      </w:r>
      <w:r>
        <w:rPr>
          <w:rFonts w:hint="eastAsia" w:ascii="宋体" w:hAnsi="宋体" w:eastAsia="宋体" w:cs="宋体"/>
          <w:sz w:val="24"/>
          <w:szCs w:val="24"/>
        </w:rPr>
        <w:t>（①或②）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①固定总价：合同固定总价人民币（大写）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总价内容包括人工费、材料费、机械费、施工管理费、所有间接费、机械一次或多次进、退场费、排污费/垃圾清运费、现场苗木保护费、地下障碍处理费、安全文明施工费、场地内和场地四周城市管网及管道保护费、各类保险（含外来务工人员综合保险）、利润和国家规定的任何收费及政府部门协调费、税金、必须的加班费、仓储、运输、因材料或设备迟到工地的窝工费等等），以及为履行合同所发生的一切费用。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②固定单价：合同暂定总价人民币（大写）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（1）综合单价包干内容包括</w:t>
      </w:r>
      <w:r>
        <w:rPr>
          <w:rFonts w:hint="eastAsia" w:ascii="宋体" w:hAnsi="宋体" w:eastAsia="宋体" w:cs="宋体"/>
          <w:sz w:val="24"/>
          <w:szCs w:val="24"/>
          <w:u w:val="single"/>
        </w:rPr>
        <w:t>人工费、材料费、机械费、管理费、利润、税金，以及为履行合同所发生的一切费用</w:t>
      </w:r>
      <w:r>
        <w:rPr>
          <w:rFonts w:hint="eastAsia" w:ascii="宋体" w:hAnsi="宋体" w:eastAsia="宋体" w:cs="宋体"/>
          <w:sz w:val="24"/>
          <w:szCs w:val="24"/>
        </w:rPr>
        <w:t>；综合单价不作任何调整，即合同单价不会因人工及物料费用或汇率之升降而调整，不会因暂定工程量的增加或减少而调整。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（2）暂定数量将根据工程量计算规则、竣工图予以核算；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（3）合同履行过程中，因暂定数量的变更可能对乙方产生的影响，乙方确认已在综合单价中予以考虑，并承诺不会以暂定数量的变更而向甲方主张任何费用索赔、工期索赔等权利。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总承包方的配合管理服务费：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任何未列在工程量清单内而却是完成图纸内容必须的项目，其价款已被包含在其他已填报价款的项目中，今后不作调增，意即：任何的缺漏项的错误皆由乙方承担并视为已被双方接受。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（1）暂定工程量；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进度款：每月按双方核定已完成工程量，支付至已完成产值的80%。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工程完工经发包方确认后，支付至合同总价的85%。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预付款及进度款支付前乙方应向甲方提供等额、合规、符合甲方要求的发票；结算款付款前乙方向甲方提供结算款全额发票（包含剩余5%质保金）否则甲方有权顺延付款且不承担任何责任。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w:t>
      </w:r>
      <w:r>
        <w:rPr>
          <w:rFonts w:hint="eastAsia" w:ascii="宋体" w:hAnsi="宋体" w:eastAsia="宋体" w:cs="宋体"/>
          <w:sz w:val="24"/>
          <w:szCs w:val="24"/>
          <w:u w:val="single"/>
        </w:rPr>
        <w:t>合同总价的5%</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w:t>
      </w:r>
      <w:r>
        <w:rPr>
          <w:rFonts w:hint="eastAsia" w:ascii="宋体" w:hAnsi="宋体" w:eastAsia="宋体" w:cs="宋体"/>
          <w:b/>
          <w:sz w:val="24"/>
          <w:szCs w:val="24"/>
        </w:rPr>
        <w:t>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合同份数：本合同一式捌份，甲方执陆份，乙方执贰份，盖章即生效。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计划工期具体节点（开工日期以甲方书面通知为准）：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条例、规范及标准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工程质量须满足本工程所涉及的最新国家标准及规范要求。进口或合资物料，要符合所列出的国际标准，并获得中国当地各有关政府部门的批准文件。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所有设备及材料的供应、安装及施工，须获得当地各有关政府部门认可，及符合其标准和规范。而呈交各有关政府部门审批之文件，包括图纸、设备、材料、样品等，乙方须负责及支付有关费用。所有呈交之文件与图纸规格及深度，须符合有关政府部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如果国家规范、当地地区规范或当地各有关政府部门的条例，有明文要求须要提供任何设备／设施，无论在本技术规范内或图纸上有否作特别标注，乙方均须提供，且费用已包含在合同价款中。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所有设备与材料的供应、安装及施工，必须符合所有中国中央和当地政府机关及部门（包括，但不仅限于下列单位）所颁布的最新法规、法定职责、条例、规范、规格、标准、施工准则、业务条例等各项法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（2）规划局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（3）环境保护处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（4）卫生检疫处／卫生防疫站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（5）自来水公司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（6）排水管理处/水务局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（7）煤气／天然气公司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（8）市政蒸气／热水供应公司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（9）防雷所／防雷中心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（10）邮电局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（11）电讯局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（12）供电局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（13）广播／电视审查部门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（14）节约用水办公室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（15）劳动局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（16）国家安保处（国安局）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（17）交通局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（18）市抗震局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（19）市人防办公室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（20）其它由全国政府机关及当地所颁布之条例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倘若当地政府机关及部门有特别要求，与技术规范和施工图在技术要求上发生冲突时，乙方在提交设备、材料和施工图审批时，必须向建筑师书面反映，并由建筑师决定应遵从的准则。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本技术规范对所有设备及材料所提出的各项品质规格及标准，主要是供乙方在选取设备及材料时作为依据，必须严格遵从。但假若本标书的建议制造商所生产的定型产品，其规格设计标准未能完全满足所列要求。如有关差异的地方不会对该设备所要求的操作功能和效率构成影响，而材料差异方面亦不会影响产品的耐用和坚固性，则有关设备及材料可视为技术性相符，建筑师可以考虑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当本技术规范、招标图、或本合约的安装工程设计，与上述有不符合时，乙方必须向建筑师书面反映，否则乙方要负上修改工程的责任及修改工程所导致的所有有关费用。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按环保局的环保报告批核要求，所有设备必须为高效率及低噪音型号，并须符合下列噪声管制要求：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127"/>
        <w:gridCol w:w="2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1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白天（上午七时至晚上九时）</w:t>
            </w:r>
          </w:p>
        </w:tc>
        <w:tc>
          <w:tcPr>
            <w:tcW w:w="287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不大于60分贝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1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早晚（上午六时及晚上十时）</w:t>
            </w:r>
          </w:p>
        </w:tc>
        <w:tc>
          <w:tcPr>
            <w:tcW w:w="287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不大于55分贝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1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深夜（晚上十一时至翌日上午五</w:t>
            </w:r>
          </w:p>
        </w:tc>
        <w:tc>
          <w:tcPr>
            <w:tcW w:w="287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不大于50分贝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1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机房内</w:t>
            </w:r>
          </w:p>
        </w:tc>
        <w:tc>
          <w:tcPr>
            <w:tcW w:w="287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不大于75分贝</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主材品牌限定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1"/>
        <w:gridCol w:w="4592"/>
        <w:gridCol w:w="39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材料或设备名称</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限定品牌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高密度聚乙烯、HDPE双壁波纹管、聚氨酯预制管材</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公元、联塑、伟星、金牛、川路或同等档次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衬塑钢管、镀锌钢管、镀锌钢管</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天津利达、天津友发、金州或同档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给水铸铁管</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新兴、泫氏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排水铸铁管</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泫氏、兴华、联通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水阀≥50铸钢、铸铁阀门</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天津卡尔斯、良工、上海凯特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具体技术要求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高密度聚乙烯（HDPE）双壁波纹管材管件技术要求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（1）高密度聚乙烯（HDPE）双壁波纹管材管件应执行GB/T 19472.1－2004《埋地用聚乙烯（PE）结构壁管道系统第一部分：聚乙烯双壁波纹管管材》。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（2）室外排水管材选用高密度聚乙烯（HDPE）双壁波纹管材，HDPE管径DN200-DN600mm。管材环刚度为S2≧8KN/m2；管材壁厚应选用不小于SN8系列对应壁厚要求。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（3）管材、橡胶圈：管材、橡胶圈等材料规格应符合设计要求，具有质量检验部门的产品合格证和产品性能说明书，并应表明产品规格和生产日期。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HDPE双壁波纹管物理性能：</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88"/>
        <w:gridCol w:w="6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环刚度（KN/m2）</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SN8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环柔度</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试样圆滑，无反向弯曲，无破裂，两壁无脱开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冲击性能（TIR）%</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烘箱试验</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无气泡，无分层，无开裂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蠕变比率</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1"/>
        <w:gridCol w:w="2689"/>
        <w:gridCol w:w="1811"/>
        <w:gridCol w:w="2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性能指标</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物理性能</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g/cm</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0.941—0.965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折光系数</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ND</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吸4</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力学性能</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抗拉强度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MPa</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断裂伸长率</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抗压强度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MPa</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弯曲强度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MPa</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弹性模量</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MPa</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热性能</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热膨胀系数</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熔点</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软化温度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脆化温度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连续使用温度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（4）弹性密封符合HG/T 3091-2000的要求。承插式和套筒式接口密封橡胶圈采用耐油的合成橡胶制成，由管道生产厂按规格配套供应。其性能达到下列要求：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0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邵氏硬度</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伸长率，%，≥</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拉伸强度，MPa，≥</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永久变形，%，&lt;</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老化系数（70℃；144h），≥</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（5）管材要求外观一致，内壁光滑平整，管身不得有裂缝，管口不得有破损、裂口、变形等缺陷。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（6）管材端面应平整，与管中心轴线垂直，轴向不得有明显的弯曲出现。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（7）管道接口用橡胶圈性能，尺寸应符合设计要求。橡胶圈外观应光滑平整，不得有气孔、裂缝、卷皱、破损、重皮和接缝现象。并应符合《橡胶密封件、给排水管及污水管道用接口密封圈材料规范》。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（8）套管内外壁光滑、平整，厚薄均匀，外观及内层不允许有明显气泡、砂眼、裂纹缝隙等缺陷。尺寸符合设计要求。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球墨铸铁管管材管件技术要求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（1）材质要求：管材生产必须执行GB/T13295-2008国家质量标准；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GB/T13295-2008压力管道用球墨铸铁管、管件及附件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ISO6892金属材料拉伸试验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ISO6506金属材料—硬度试验—布氏硬度试验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ISO4179压力管线用球墨铸铁管—离心水泥砂浆内衬— 一般要求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ISO8179球墨铸铁管表面涂锌。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（3）管道为承插式，管道接口为T型滑入式橡胶密封圈接口。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（4）管和管件的标准壁厚e=k（0.5+0.001DN）其中：e—标准壁厚，mm；DN—公称直径，mm； K—壁厚级别系数，取：…8、9、10、11、12…直管K取9，三通K取14，其它K取12；重量最大偏差为-5%。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（5）管道、管件及附件的质量：铸造后经适当的热处理以达到要求的机械性能，管子应能进行切割、钻孔和机械加工。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（6）接口公差：为保证管道和管件的互换性，管道和管件在插口端的外径公差不应大于1mm。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（7）标准有效长度6米。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（8）平直度：当管子在约为管长2/3间距的两个台架上进行滚动检查时，最大偏差fm不应大于管有效长度L的0.125%，即：fm（mm）≤0.125%L。</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（9）力学性能：球墨铸铁管的力学性能符合ISO2531标准规定：抗拉强度≥420N/mm2，抗弯强度≥590N/mm2，延伸率≥10%；管件的力学性能符合ISO2531标准规定：抗拉强度≥400N/mm2，延伸率≥5%。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（10）化学成份：球墨铸铁管的磷含量不得大于0.05%，硫含量不得大于0.02%。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（11）水压试验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a.球墨铸铁管涂敷前逐个进行水压试验，实验压力数值符合GB13295—2013标准规定K9级：</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77"/>
        <w:gridCol w:w="4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公称直径</w:t>
            </w:r>
          </w:p>
        </w:tc>
        <w:tc>
          <w:tcPr>
            <w:tcW w:w="42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试验压力（Mpa）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DN200/DN150/DN100</w:t>
            </w:r>
          </w:p>
        </w:tc>
        <w:tc>
          <w:tcPr>
            <w:tcW w:w="42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b.球墨铸铁管件涂敷前逐个进行水压实验，试验压力数值符合GB13295—2013标准规定：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77"/>
        <w:gridCol w:w="4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公称直径</w:t>
            </w:r>
          </w:p>
        </w:tc>
        <w:tc>
          <w:tcPr>
            <w:tcW w:w="42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试验压力（Mpa）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DN200/DN150/DN100</w:t>
            </w:r>
          </w:p>
        </w:tc>
        <w:tc>
          <w:tcPr>
            <w:tcW w:w="42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（12）橡胶圈：为丁晴橡胶，执行ISO4633—2002标准。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球墨铸铁井盖的主要技术规格及要求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球墨铸铁井盖参照行业标准《铸铁检查井盖》（CJ/T3012-93）、标准图集《井盖及踏步》（06MS201-（6）为国家标准设计制造，停车场、车行道选用重型，绿地及人行便道等选用轻型；Z=重型、Q=轻型、Q=球墨铸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19"/>
        <w:gridCol w:w="2658"/>
        <w:gridCol w:w="2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材质、何载等级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重量（KG）（盖+支座）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500#（ZQ）重型球墨铸铁井盖</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QT500-7    城-A级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700#（ZQ）重型球墨铸铁井盖</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QT500-7    城-A级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53+48=101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1 500#（QQ）轻型球墨铸铁井盖</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QT500-7    城-B级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700#（QQ）轻型球墨铸铁井盖</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QT500-7    城-B级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44+41=85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给水管道附属设备安装及井室砌筑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5.3.4.11 室砌筑：检查井施工程序：砌井壁至管径处→管口砖旋→继续砌井壁（装踏步）→吊装盖板或收口→砌井筒（装踏步）→井室外回填土→勾砖缝或砂浆抹面→安装井盖。检查井砌筑前必须检查基础尺寸、高程和混凝土强度，应满足规范要求，砌筑面应清扫。混凝土达到50%设计强度后进行测量弹线，根据管中线放出墙基线，并定出中心点，划上砌筑位置及标出砌筑高度，便于操作人员掌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5.3.4.22 筑：按设计放样挂线、撂底摆缝，砌砖时砂浆应满铺满挤，灰缝不得有竖向通缝；墙体要求砂浆饱满，缝隙均匀，墙板垂直、弧线圆滑、清洁、美观。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5.3.4.3 砌筑检查圆井：砌筑检查圆井应挂线校核井室内径及圆度。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5.3.4.4 踏步：井室内的的踏步应在砌砖时用砂浆埋固，随砌随安，不得事后凿洞补装；踏步在砌筑砂浆未达到规定强度前不得踩踏。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5.3.4.5 井室抹面：井室内壁抹面应分层压实，外壁应用砂浆搓缝严实；应砌筑到50－70cm就抹面一次，以后随砌随抹。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5.3.4.6 装预制盖板：安装预制盖板必须是墙顶座1：3水泥砂浆，盖板下的井室最上一层砖须是丁砖；制作盖板前应校对到货闸阀尺寸，注意人孔中心应对准闸阀方头或手轮中心，闸阀方头或手轮中心偏离井筒中心不得大于200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5.3.4.7 井盖高程：检查井盖高程按现状路面高程砌筑，支线井室在规划红线外应高出附近地面20cm。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5.3.4.8 支墩：管道附件下应设支墩。凡图中绘有支墩且未注支墩尺寸者根据闸阀尺寸与设计人和监理工程师商定支敦按03SS505《柔性接口给水管道支墩标准图》要求进行支护。支墩与管道附件底面之间填M7.5水泥砂浆抹八字拖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5.3.4.9 闸门安装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（1）阀件检查：要求各种阀件都必须有产品合格证书，并按规定要求进行复 验；阀件安装前必须试压试漏检查；阀件外观检查应无缺陷，其操作机构、传动装置要开闭灵活、可靠、无卡涩现象。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（2）阀件清理：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阀件安装前要清除阀口挡片和杂物。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注意事项：安装阀件时不得使用手轮作为吊装承重点；阀件安装首先要注意方向性，箭头所指为介质向前流动方向，必须注意不得装反；阀门要在关闭状态下安装；要保证闸门阀杆垂直安装；要保证阀门两端面与管道轴线垂直，不得因阀门安装使管道出现应力现象；注意盖板人孔对准手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5.3.4.10 法兰安装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（1）法兰安装前检查：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法兰安装前要检查法兰密封面及密封垫片的外表面质量，不得有影响密封性能的缺陷。法兰的几何尺寸要与阀件的尺寸相同。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（2）螺栓规定要求：选择的螺栓必须与阀件匹配，所用螺栓的直径、长度必须一致。法兰螺栓的位置尺寸保证螺栓孔的互换性，即全部螺栓均可自由穿入。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（3）垫片规定：1个接口只准安装1个垫片，不得加双层垫片，不得加偏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垫，垫片使用时应按规定操作。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（4）螺母规定：全部螺母要位于法兰的同一侧，即靠近阀件的一侧，需加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垫圈调整时，每个螺栓只准加一个垫圈。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（5）拧紧螺母规定：拧紧法兰螺母时按十字对称方法进行，分两次拧紧，不得一次拧紧；拧紧后螺纹外部长度不超过2至3倍螺距。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 管线沟槽回填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5.3.5.1 管道安装完毕并经检查验收合格后，进行回填工作。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5.3.5.2 回填要求：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（1）回填工作在管道安装完成，并经监理验收合格后进行，槽底杂物要清除干净。回填之前自行做土壤压实度试验，结合现场回填试验结果，确定回填虚铺厚度、压实遍数、使用机具。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（2）回填密实度标准：胸腔部分（轻型击实）≥95%，管顶以上50cm范围内（轻型击实）≥87%，管顶50cm以上至地面胸腔部分按重型击实标准进行回填≥95%。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（3）管道上设置的砼支墩或其他砼构筑物，必须达到设计强度的70%以上时方能回填。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（4）管道两侧要同时回填，两侧高差不得大于30cm，不得损坏管道。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（5）回填土中不得含有直径大于5厘米的砖石、瓦块、硬土块和淤泥、房渣土等杂物。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（6）管道底部的三角部位，用木锤等特别工具填细土（砂）捣实。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（7）管顶以上50cm范围内，要使用木夯夯实；管顶以上50cm以上部位回填：管顶以上50～150cm范围内，可使用小型振动夯或轻型夯，大型机械不得穿行；管顶以上填土夯实高度达1.5m以上时，方可使用振动碾压机械。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（8）回填土每层虚铺厚度，对于普通压实工具每层不超过20cm。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（9）沟槽回填顺序按沟槽排水方向由高向低分层进行。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（10）非同时进行的两个回填段落搭接处，要将夯实层留成阶梯状，其长高比要大于2。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（11）井室等附属构筑物回填四周要同时进行，并须严密夯实，管线交叉无法行夯之处，必要时与设计共同协商，设计同意后回填低标号砼。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5.3.5.3 所有填土均要按密实度要求，不合格者坚决予以返工。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5.3.6 雨水篦子主要技术规格及要求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雨水口采用平蓖式双蓖雨水口，篦子与井圈均应为球墨铸铁材质，并配套使用。各类雨水口的可变荷载标准值取汽车荷载等级城-A级，对于雨水口篦子及井圈，使用时应按相关产品标准通过出厂检验。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5.3.7 化粪池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（1）化粪池为砼预制式化粪池。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（2）乙方已充分考虑挖槽、打垫层、回填、余土外运、砌口、井圈、井盖以及安装费用等因素，施工范围内总价包干。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以下成品保护措施在竣工验收交接前全部由乙方自行负责。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成品保护就是在工程管理中采用有组织和技术的手段，对已施工的工程产品或工序进行保护（防护），防止破坏；现场成品保护由乙方统一协调管理，监理工程师应用合同及技术手段对乙方进行监督和控制。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成品与半成品必须有专门的场所放置，并派专人管理。交叉施工阶段，上下道工序的交接双方要派专人在现场监护，确保上下道工序的成品不受损坏。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乙方必须提供产品安装后详细的保护措施和方案，并派专人负责，常住现场配合甲方进行监督和保护，直至本项工程验收通过为止。乙方在进行产品安装的同时不允许破坏其它厂家的产品，否则将承担相应的赔偿和工期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乙方负责未移交给甲方前的全过程的成品保管、保护。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完工后提供甲方一套清扫维护手册，并列出各类清洗部件、清洗方法及维护工作的各类备用资料，使甲方在保修期后进行维护工作。由于乙方保护不力，造成成品破坏的，乙方须立即更换、修复，并赔偿由此引起的甲方其它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本工程具体成品保护要求如下：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（1）各种预留管口的丝堵不得随意打开以防掉进杂物堵塞管道；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（2）阀门手轮在安装时应卸下妥善保管好，在交工前统一安装好；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（3）已做好防腐层的管道及设备之间，要隔开不得粘连，以免破坏防腐层。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（4）刷油前应先清理好周围环境，防止尘土飞扬，保持清洁，如遇大风、雨、雾、雪，不得露天作业。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（5）涂漆的管道、设备及容器，漆层在干燥过程中应防止冻结、撞击和温度剧裂变化影响质量。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（6）朝上的管口、电盒容易掉进杂物，必须及时将管口封堵好（用聚苯板和胶纸封住管盒），防止堵塞管盒，如有敞口破损现象，看护人员应立即修复被损坏的箱、盒、管。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竣工验收交接前的成品保护工作全部由乙方负责，乙方对所引起的任何损坏负责修复并承担费用，延误的工期不予顺延；若乙方未按要求进行成品保护，除负责修复并承担费用外，仍应按不超过合同价1%的价款向甲方另行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现场质量管理要求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（1）乙方应配备具有相应资格的专职质检员，具有完整的专业施工经验。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（2）乙方应配备各种用于质量检测的合格工具。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（3）乙方应配备专业放线员进行各种放线定位工作。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（4）所有隐检预检在经过自检合格后上报总包单位，总包单位验收合格后，协同总包单位共同上报监理单位验收。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（5）对总包单位、监理单位、建设单位提出的质量问题应无条件整改，直至满足规范要求。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（6）乙方须负责检查所有有关之管线定位，并保留一切定位有关之基准记号。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甲方代表、设计院有权拒绝接受任何不符合本技术规格说明书要求的设备、材料及工艺，并同时有权命令乙方将不符合要求的设备、材料和安装拆除和更换，因此而此致工期延误及一切有关费用均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产品保修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监理总监：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总乙方代表：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乙方代表：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23634"/>
    <w:multiLevelType w:val="singleLevel"/>
    <w:tmpl w:val="C9323634"/>
    <w:lvl w:ilvl="0" w:tentative="0">
      <w:start w:val="1"/>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C04A53"/>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B977D8F"/>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9E41953"/>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 w:val="DDCA22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2020-03-13T18:24:45Z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