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供热入网合同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为了维护甲乙双方的合法权益，根据《中华人民共和国民法典》、《</w:t>
      </w:r>
      <w:r>
        <w:rPr>
          <w:rFonts w:hint="eastAsia" w:ascii="宋体" w:hAnsi="宋体" w:eastAsia="宋体" w:cs="宋体"/>
          <w:sz w:val="24"/>
          <w:szCs w:val="24"/>
          <w:u w:val="single"/>
        </w:rPr>
        <w:t>        </w:t>
      </w:r>
      <w:r>
        <w:rPr>
          <w:rFonts w:hint="eastAsia" w:ascii="宋体" w:hAnsi="宋体" w:eastAsia="宋体" w:cs="宋体"/>
          <w:sz w:val="24"/>
          <w:szCs w:val="24"/>
        </w:rPr>
        <w:t>城市供热管理条例》、《</w:t>
      </w:r>
      <w:r>
        <w:rPr>
          <w:rFonts w:hint="eastAsia" w:ascii="宋体" w:hAnsi="宋体" w:eastAsia="宋体" w:cs="宋体"/>
          <w:sz w:val="24"/>
          <w:szCs w:val="24"/>
          <w:u w:val="single"/>
        </w:rPr>
        <w:t>        </w:t>
      </w:r>
      <w:r>
        <w:rPr>
          <w:rFonts w:hint="eastAsia" w:ascii="宋体" w:hAnsi="宋体" w:eastAsia="宋体" w:cs="宋体"/>
          <w:sz w:val="24"/>
          <w:szCs w:val="24"/>
        </w:rPr>
        <w:t>市集中供热入网管理办法》，甲乙双方就供热入网事宜经协商订立本合同。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一、供热入网面积及费用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乙方开发项目</w:t>
      </w:r>
      <w:r>
        <w:rPr>
          <w:rFonts w:hint="eastAsia" w:ascii="宋体" w:hAnsi="宋体" w:eastAsia="宋体" w:cs="宋体"/>
          <w:sz w:val="24"/>
          <w:szCs w:val="24"/>
          <w:u w:val="single"/>
        </w:rPr>
        <w:t>        </w:t>
      </w: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平方米，其中住宅</w:t>
      </w:r>
      <w:r>
        <w:rPr>
          <w:rFonts w:hint="eastAsia" w:ascii="宋体" w:hAnsi="宋体" w:eastAsia="宋体" w:cs="宋体"/>
          <w:sz w:val="24"/>
          <w:szCs w:val="24"/>
          <w:u w:val="single"/>
        </w:rPr>
        <w:t>    </w:t>
      </w:r>
      <w:r>
        <w:rPr>
          <w:rFonts w:hint="eastAsia" w:ascii="宋体" w:hAnsi="宋体" w:eastAsia="宋体" w:cs="宋体"/>
          <w:sz w:val="24"/>
          <w:szCs w:val="24"/>
        </w:rPr>
        <w:t>平方米，非住宅</w:t>
      </w:r>
      <w:r>
        <w:rPr>
          <w:rFonts w:hint="eastAsia" w:ascii="宋体" w:hAnsi="宋体" w:eastAsia="宋体" w:cs="宋体"/>
          <w:sz w:val="24"/>
          <w:szCs w:val="24"/>
          <w:u w:val="single"/>
        </w:rPr>
        <w:t>    </w:t>
      </w:r>
      <w:r>
        <w:rPr>
          <w:rFonts w:hint="eastAsia" w:ascii="宋体" w:hAnsi="宋体" w:eastAsia="宋体" w:cs="宋体"/>
          <w:sz w:val="24"/>
          <w:szCs w:val="24"/>
        </w:rPr>
        <w:t>平方米，项目分</w:t>
      </w:r>
      <w:r>
        <w:rPr>
          <w:rFonts w:hint="eastAsia" w:ascii="宋体" w:hAnsi="宋体" w:eastAsia="宋体" w:cs="宋体"/>
          <w:sz w:val="24"/>
          <w:szCs w:val="24"/>
          <w:u w:val="single"/>
        </w:rPr>
        <w:t>    </w:t>
      </w:r>
      <w:r>
        <w:rPr>
          <w:rFonts w:hint="eastAsia" w:ascii="宋体" w:hAnsi="宋体" w:eastAsia="宋体" w:cs="宋体"/>
          <w:sz w:val="24"/>
          <w:szCs w:val="24"/>
        </w:rPr>
        <w:t>期建设，本项目共设</w:t>
      </w:r>
      <w:r>
        <w:rPr>
          <w:rFonts w:hint="eastAsia" w:ascii="宋体" w:hAnsi="宋体" w:eastAsia="宋体" w:cs="宋体"/>
          <w:sz w:val="24"/>
          <w:szCs w:val="24"/>
          <w:u w:val="single"/>
        </w:rPr>
        <w:t>    </w:t>
      </w:r>
      <w:r>
        <w:rPr>
          <w:rFonts w:hint="eastAsia" w:ascii="宋体" w:hAnsi="宋体" w:eastAsia="宋体" w:cs="宋体"/>
          <w:sz w:val="24"/>
          <w:szCs w:val="24"/>
        </w:rPr>
        <w:t>个换热站。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1.入网面积：</w:t>
      </w:r>
      <w:r>
        <w:rPr>
          <w:rFonts w:hint="eastAsia" w:ascii="宋体" w:hAnsi="宋体" w:eastAsia="宋体" w:cs="宋体"/>
          <w:sz w:val="24"/>
          <w:szCs w:val="24"/>
          <w:u w:val="single"/>
        </w:rPr>
        <w:t>    </w:t>
      </w:r>
      <w:r>
        <w:rPr>
          <w:rFonts w:hint="eastAsia" w:ascii="宋体" w:hAnsi="宋体" w:eastAsia="宋体" w:cs="宋体"/>
          <w:sz w:val="24"/>
          <w:szCs w:val="24"/>
        </w:rPr>
        <w:t>平方米，分</w:t>
      </w:r>
      <w:r>
        <w:rPr>
          <w:rFonts w:hint="eastAsia" w:ascii="宋体" w:hAnsi="宋体" w:eastAsia="宋体" w:cs="宋体"/>
          <w:sz w:val="24"/>
          <w:szCs w:val="24"/>
          <w:u w:val="single"/>
        </w:rPr>
        <w:t>    </w:t>
      </w:r>
      <w:r>
        <w:rPr>
          <w:rFonts w:hint="eastAsia" w:ascii="宋体" w:hAnsi="宋体" w:eastAsia="宋体" w:cs="宋体"/>
          <w:sz w:val="24"/>
          <w:szCs w:val="24"/>
        </w:rPr>
        <w:t>次入网，</w:t>
      </w:r>
      <w:r>
        <w:rPr>
          <w:rFonts w:hint="eastAsia" w:ascii="宋体" w:hAnsi="宋体" w:eastAsia="宋体" w:cs="宋体"/>
          <w:sz w:val="24"/>
          <w:szCs w:val="24"/>
          <w:u w:val="single"/>
        </w:rPr>
        <w:t>    </w:t>
      </w:r>
      <w:r>
        <w:rPr>
          <w:rFonts w:hint="eastAsia" w:ascii="宋体" w:hAnsi="宋体" w:eastAsia="宋体" w:cs="宋体"/>
          <w:sz w:val="24"/>
          <w:szCs w:val="24"/>
        </w:rPr>
        <w:t>年入网面积</w:t>
      </w:r>
      <w:r>
        <w:rPr>
          <w:rFonts w:hint="eastAsia" w:ascii="宋体" w:hAnsi="宋体" w:eastAsia="宋体" w:cs="宋体"/>
          <w:sz w:val="24"/>
          <w:szCs w:val="24"/>
          <w:u w:val="single"/>
        </w:rPr>
        <w:t>    </w:t>
      </w:r>
      <w:r>
        <w:rPr>
          <w:rFonts w:hint="eastAsia" w:ascii="宋体" w:hAnsi="宋体" w:eastAsia="宋体" w:cs="宋体"/>
          <w:sz w:val="24"/>
          <w:szCs w:val="24"/>
        </w:rPr>
        <w:t>平方米。面积以房产局房屋面积核定书为准，入网面积应与用热面积一致。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2.收费标准：执行通辽市现行入网费收费标准</w:t>
      </w:r>
      <w:r>
        <w:rPr>
          <w:rFonts w:hint="eastAsia" w:ascii="宋体" w:hAnsi="宋体" w:eastAsia="宋体" w:cs="宋体"/>
          <w:sz w:val="24"/>
          <w:szCs w:val="24"/>
          <w:u w:val="single"/>
        </w:rPr>
        <w:t>    </w:t>
      </w:r>
      <w:r>
        <w:rPr>
          <w:rFonts w:hint="eastAsia" w:ascii="宋体" w:hAnsi="宋体" w:eastAsia="宋体" w:cs="宋体"/>
          <w:sz w:val="24"/>
          <w:szCs w:val="24"/>
        </w:rPr>
        <w:t>元/㎡（一次性收取）, 通辽市如调整收费标准，未缴纳入网费部分按调整后的标准执行。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3.入网增容费：乙方共需支付甲方入网费人民币（大写）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4.计量装置款：乙方共需支付甲方计量装置款人民币（大写）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元）。（详单附后）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交费时间：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日，已支付入网费，人民币</w:t>
      </w:r>
      <w:r>
        <w:rPr>
          <w:rFonts w:hint="eastAsia" w:ascii="宋体" w:hAnsi="宋体" w:eastAsia="宋体" w:cs="宋体"/>
          <w:sz w:val="24"/>
          <w:szCs w:val="24"/>
          <w:u w:val="single"/>
        </w:rPr>
        <w:t>    </w:t>
      </w:r>
      <w:r>
        <w:rPr>
          <w:rFonts w:hint="eastAsia" w:ascii="宋体" w:hAnsi="宋体" w:eastAsia="宋体" w:cs="宋体"/>
          <w:sz w:val="24"/>
          <w:szCs w:val="24"/>
        </w:rPr>
        <w:t>元整，余款金额为人民币（大写）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分户控制装置、温度调控装置和热计量装置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根据通辽市住建委要求，乙方所有入网建筑物用热系统应全部安装分户控制装置、温度调控装置和热计量装置（以下简称计量装置）</w:t>
      </w:r>
      <w:r>
        <w:rPr>
          <w:rStyle w:val="8"/>
          <w:rFonts w:hint="eastAsia" w:ascii="宋体" w:hAnsi="宋体" w:eastAsia="宋体" w:cs="宋体"/>
          <w:b/>
          <w:sz w:val="24"/>
          <w:szCs w:val="24"/>
        </w:rPr>
        <w:t>。</w:t>
      </w:r>
      <w:r>
        <w:rPr>
          <w:rFonts w:hint="eastAsia" w:ascii="宋体" w:hAnsi="宋体" w:eastAsia="宋体" w:cs="宋体"/>
          <w:sz w:val="24"/>
          <w:szCs w:val="24"/>
        </w:rPr>
        <w:t>双方协商一致，甲方为计量装置采购、安装主体，负责计量装置选型、安装、调试、维护管理</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三、一次网、二次网及换热站供热设施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1.甲方通至乙方建设项目红线的一次供热管网由甲方负责投资建设和运行维护，产权归甲方。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建设的一次网延伸至换热站工程、二次供热管网工程及换热站工程，在项目整体验收时，对不符合标准和供热条件的应按甲方审核意见整改。乙方负责换热站两个采暖期的运行及维护，并承担相关费用，运行满两个采暖期，经甲方验收合格，交付甲方管理，由甲方负责运行与维护。乙方承担供热系统的保修责任，供热系统的保修期为五个采暖期。保修责任未履行或者拖延履行的，供热系统的保修期不受五个采暖期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3.由乙方承建的换热站、二次管网铺设问题导致供热温度不均匀，由乙方承担责任。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（1）按时完成至乙方用热区域（红线）一次供热管网的工程，管线及接口的供热能力满足乙方小区用热。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（2）按时完成乙方用热区域内热用户分户计量装置的安装调试，具备热计量收费条件。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（3）甲方有权对乙方用热区域内一次网延伸、二次网及换热站供热设施的设计进行审查，乙方须按审查意见修改设计。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（4）甲方有权对乙方提出的用热入网面积进行稽查。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（5）乙方未按约定的时间和数额给付入网增容费、分户计量装置款，甲方有权不予供热。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（6）供热工程竣工验收后，甲方按约定时间开栓供热，由于乙方原因或不可抗力，政府行为等不可抗因素而导致甲方未能依约如期供热，甲方不承担任何责任。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（1）乙方必须按时足额的支付甲方本合同条款约定的入网费、分户计量装置费。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（2）乙方必须按此合同约定的建筑面积用热，设计、建设、安装同一标准的散热器。因散热器不统一，私增乱接供、用热设施的，甲方不承担供热不足的责任。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（3）乙方负责缴纳第一年全额供热费及以后年度未售出房屋的供热费。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（4）乙方有权要求甲方按时供热。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1.因乙方原因导致不能按期供热，乙方负担推延供热天数甲方应收而未收的供热费；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2.因甲方原因导致不能按期供热，甲方减收乙方推延供热天数应收的供热费；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3.乙方如超合同约定的建筑面积用热，私增乱接供、用热设施， 一经查出，除补交超面积部分入网费及供热费外，另加收原供热费两倍的违约金。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w:t>
      </w:r>
      <w:r>
        <w:rPr>
          <w:rFonts w:hint="eastAsia" w:ascii="宋体" w:hAnsi="宋体" w:eastAsia="宋体" w:cs="宋体"/>
          <w:sz w:val="24"/>
          <w:szCs w:val="24"/>
          <w:u w:val="single"/>
        </w:rPr>
        <w:t>        </w:t>
      </w:r>
      <w:r>
        <w:rPr>
          <w:rFonts w:hint="eastAsia" w:ascii="宋体" w:hAnsi="宋体" w:eastAsia="宋体" w:cs="宋体"/>
          <w:sz w:val="24"/>
          <w:szCs w:val="24"/>
        </w:rPr>
        <w:t>城镇供热条例》新建建筑应当符合国家建筑节能标准，如乙方建筑不符合国家建筑节能标准，室内温度低于标准温度，免除甲方供热不达标的责任。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5.乙方建筑应具备安装、分户计量装置的条件，如因不符合安装条件所产生的改造费用由乙方承担。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1.本合同未尽事宜，双方另外协商签订补充协议。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3.本合同一式四份，甲乙方各执二份，从签订之日起生效。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855"/>
        <w:gridCol w:w="2665"/>
        <w:gridCol w:w="855"/>
        <w:gridCol w:w="855"/>
        <w:gridCol w:w="2061"/>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热计量装置定购计划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分户计量装置规格、数量、金额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年入网部分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66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套</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437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