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升级维保服务合同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根据《中华人民共和国民法典》，甲、乙双方经过友好协商，本着平等、自愿、诚实信用原则签订本合同，以兹共同遵守。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甲方向乙方购买系统的相关服务，乙方为甲方提供本合同附件一中所提到的软件产品服务。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（本合同标的仅为附件所列软件服务；软件许可、购买由双方另外签订合同）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三、支付条款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1.支付方式：甲方以银行转账方式向乙方支付货款。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2.支付时间及金额：甲方在合同签订后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个工作日内支付合同总额的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3.乙方必须开具正式发票给甲方，本合同总额已含税款。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四、服务的生效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本服务于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日起生效，有效期为一年。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（1）甲方必须按时足额向乙方支付合同款项；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（2）乙方必须按时完整地向甲方交付合同产品；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（3）乙方必须按本合同约定向甲方提供技术支持。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六、保密条款保密内容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1.指与甲方计算机网络应用系统相关的一切信息，包括但不限于：甲方网络系统软硬件的构成；运行状况与各种数据；安全测试结果等。以及乙方产品的技术、性能、合同价格等技术、商业秘密。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双方合作期间及合作终止后，乙方有义务不向任何第三方披露本协议项下的保密信息内容。乙方承诺将上述保密信息的接触范围在乙方内部限制在指定范围内，并由严格的内控制度加以保证。未经甲方同意，乙方不得以任何方式复制保密信息，不得对甲方网络系统软件进行修改、改动、工程化、反汇编、改造成其他作品形式或进行分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合同签订任何一方因战争、火灾、水灾、台风、交通事故、地震等国际惯例视作不可抗力受阻而无法履行其合同义务时，本合同执行时程将延长与上述事故持续时间相等之日数；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因不可抗力致使无法履行义务一方应立即以传真或电子邮件通知对方，并于不可抗力发生后14天内，以航空挂号信函寄送当地主管机构核发之证明以证实该不可抗力之发生；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因不可抗力致使无法履行义务一方应于该不抗力事件终止或排除后，立即以电子邮件、传真等方式通知他方，并提供相关的证明文件；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如不可抗力影响合同执行超过</w:t>
      </w:r>
      <w:r>
        <w:rPr>
          <w:rFonts w:hint="eastAsia" w:ascii="宋体" w:hAnsi="宋体" w:eastAsia="宋体" w:cs="宋体"/>
          <w:sz w:val="24"/>
          <w:szCs w:val="24"/>
          <w:u w:val="single"/>
        </w:rPr>
        <w:t>    </w:t>
      </w:r>
      <w:r>
        <w:rPr>
          <w:rFonts w:hint="eastAsia" w:ascii="宋体" w:hAnsi="宋体" w:eastAsia="宋体" w:cs="宋体"/>
          <w:sz w:val="24"/>
          <w:szCs w:val="24"/>
        </w:rPr>
        <w:t>天，双方应就合同的进一步履行与否进行磋商并达成一致。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双方平等协商一致，可以变更或解除合同。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乙方不能如约提供相应服务，每逾期一周（不足一周按一周计算），应向甲方支付合同总金额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‰的违约金，但违约金累计总额不超过合同总金额的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甲方不能按期足额付款，每逾期一周（不足一周按一周计算），应向乙方支付合同总金额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‰的违约金，但违约金累计总额不超过合同总金额的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双方任何一方违反本合同第六条约定之义务，违约方应对由此给对方造成的损失进行赔偿。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1.因本合同所产生的一切争议，经双方协商不成的，任何一方应将争议提交有管辖权的人民法院解决。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附件一：服务内容描述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5天*8小时热线技术服务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服务编号：ups-001</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07"/>
        <w:gridCol w:w="1207"/>
        <w:gridCol w:w="1411"/>
        <w:gridCol w:w="3857"/>
        <w:gridCol w:w="1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服务方式</w:t>
            </w:r>
          </w:p>
        </w:tc>
        <w:tc>
          <w:tcPr>
            <w:tcW w:w="12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服务对象</w:t>
            </w:r>
          </w:p>
        </w:tc>
        <w:tc>
          <w:tcPr>
            <w:tcW w:w="14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服务时间</w:t>
            </w:r>
          </w:p>
        </w:tc>
        <w:tc>
          <w:tcPr>
            <w:tcW w:w="3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热线电话及email</w:t>
            </w:r>
          </w:p>
        </w:tc>
        <w:tc>
          <w:tcPr>
            <w:tcW w:w="12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购买公司产品的所有用户</w:t>
            </w:r>
          </w:p>
        </w:tc>
        <w:tc>
          <w:tcPr>
            <w:tcW w:w="14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工作时间 9:30—18:00</w:t>
            </w:r>
          </w:p>
        </w:tc>
        <w:tc>
          <w:tcPr>
            <w:tcW w:w="3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产品技术问答：产品使用、产品问题处理等。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反馈并解决用户问题</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同代软件版本升级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服务编号：ups-002</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20"/>
        <w:gridCol w:w="1220"/>
        <w:gridCol w:w="1331"/>
        <w:gridCol w:w="3898"/>
        <w:gridCol w:w="1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服务方式</w:t>
            </w:r>
          </w:p>
        </w:tc>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服务对象</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服务频率</w:t>
            </w:r>
          </w:p>
        </w:tc>
        <w:tc>
          <w:tcPr>
            <w:tcW w:w="3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email、邮寄或现场</w:t>
            </w:r>
          </w:p>
        </w:tc>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购买公司产品的所有用户</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根据版本发布情况以及用户使用情况</w:t>
            </w:r>
          </w:p>
        </w:tc>
        <w:tc>
          <w:tcPr>
            <w:tcW w:w="3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软件版本的规定：a.b.c.d</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其中：a和b分别体现产品的系统结构的变化，用0－9表示。c和d分别体现产品小功能的增加和产品维护，用0－99表示。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a和b的变化定义为：产品更新换代。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c和d的变化定义为：同代软件版本升级。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同代软件版本升级在产品服务期内免费提供。</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传递给用户升级包或在线完成升级</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其他现场支持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服务编号：ups-004</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20"/>
        <w:gridCol w:w="1220"/>
        <w:gridCol w:w="1331"/>
        <w:gridCol w:w="3771"/>
        <w:gridCol w:w="1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服务方式</w:t>
            </w:r>
          </w:p>
        </w:tc>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服务对象</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服务频率</w:t>
            </w:r>
          </w:p>
        </w:tc>
        <w:tc>
          <w:tcPr>
            <w:tcW w:w="37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w:t>
            </w:r>
          </w:p>
        </w:tc>
        <w:tc>
          <w:tcPr>
            <w:tcW w:w="12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购买此项服务的所有用户</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产品出现较为重要的bug，无法远程解决时。</w:t>
            </w:r>
          </w:p>
        </w:tc>
        <w:tc>
          <w:tcPr>
            <w:tcW w:w="37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现场了解用户问题,提出解决问题的办法并解决用户问题</w:t>
            </w:r>
          </w:p>
        </w:tc>
        <w:tc>
          <w:tcPr>
            <w:tcW w:w="1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系统正常工作</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支持时间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正常上班时间：周一至周五9:30---18:00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其余时间（包括节假日）：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支持方式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87"/>
        <w:gridCol w:w="68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电话支持</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传真支持</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接收者：服务支持部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网站支持</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mail支持</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信函支持</w:t>
            </w:r>
          </w:p>
        </w:tc>
        <w:tc>
          <w:tcPr>
            <w:tcW w:w="6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深服务支持部       收</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配套软件支持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运行所需的基础软件环境，如操作系统、数据库等，用户可以选择从我方购买或自己购买。用户在使用配套软件的过程中遇到的问题，我们提供免费在线支持。如果问题是由于配套软件本身的瑕疵所造成的，请向供货商寻求帮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09AC4C00"/>
    <w:rsid w:val="12FB53A9"/>
    <w:rsid w:val="14CB5523"/>
    <w:rsid w:val="22872302"/>
    <w:rsid w:val="28AC24D5"/>
    <w:rsid w:val="33EB28B6"/>
    <w:rsid w:val="48873724"/>
    <w:rsid w:val="4FC351EA"/>
    <w:rsid w:val="5E993B3C"/>
    <w:rsid w:val="64957E1C"/>
    <w:rsid w:val="688D46F2"/>
    <w:rsid w:val="78C8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