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Fonts w:hint="eastAsia" w:ascii="宋体" w:hAnsi="宋体" w:eastAsia="宋体" w:cs="宋体"/>
          <w:b/>
          <w:sz w:val="32"/>
          <w:szCs w:val="32"/>
        </w:rPr>
        <w:t>钢筋混凝土现浇工程施工合同</w:t>
      </w:r>
    </w:p>
    <w:bookmarkEnd w:id="0"/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甲方（发包人）：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乙方（承包人）：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上述各方经平等自愿协商，签订本合同以共同遵守。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甲乙双方本着友好合作的态度，按照《民法典》等相关法律，在平等公正的情况下签订如下合同：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一、工程概况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甲方委托乙方在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进行钢筋混凝土现浇工程。该房间结构为钢筋混凝土框架结构，目前已经具备了工程开工条件。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二、施工内容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甲方以目前房屋现状移交乙方施工，乙方以“包工包料”的形式进行施工。为明确乙方的工程承包范围，特对各专业范围及装修做法进行详细描述如下：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1.墙面及梁开槽深度不得小于120mm，开槽位置须事先采用软管找对水平，标高误差不超过5mm。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注：不得切断墙或梁内钢筋，开槽完毕须将槽内清理干净。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2.客厅上空现浇楼板厚度不得小于120mm，其他位置厚度不小于100mm。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3.所有楼板中心起拱10～20mm，所有构造梁起拱20～30mm。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4.所有模板应干净平整，采用软管找对水平，标高误差不超过5mm。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5.现浇楼板布筋要求：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（1）单层布筋：主受力钢筋网在下，φ12mm与φ10mm螺纹钢横竖排放，钢筋网格间距150×150mm；不得使用短钢筋搭接。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（2）双层布筋：在单层布筋的基础上，增加上层负力钢筋网，φ10mm圆钢横竖排放，钢筋网格间距150×150mm；不得使用短钢筋搭接。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注：具体参考附件设计图，不得低于设计图设计的配筋。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6.现浇楼梯布筋参考附件设计图（不得低于设计图设计的配筋）。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7.钢筋交叉处扎丝固定；现浇楼板（梯）的钢筋保护层为15mm；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8.楼板四角须铺设φ4mm钢筋网片，面积不小于1平米；预埋PVC管铺设方向铺设φ4mm钢筋网片，宽度不小于600mm，以防楼板开裂。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9.给排水、供电工程：按甲方要求在现浇板内预埋上下水管、电线管（客厅、厨房、及其他房间的吊灯等），将上下水管管口、电源插座、开关、灯座等预留在甲方指定位置（具体参考附件设计图）。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10.钢筋绑扎完毕，必须经甲方验收认可后，方可进行混凝土浇灌工作。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11.混凝土强度等级约定为C30，必须搅拌充分，混合均匀。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注：每立方混凝土水泥用量不少于500kg（不少于10包）。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12.现浇混凝土时，应全部振捣密实，严禁漏振，以免影响混凝土质量。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注：尤其是楼板四周与已有结构接口处务必要振捣充分。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13.浇灌完成乙方负责保养。20天后，乙方经甲方同意，方可拆除模板。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14.现浇楼板（梯）施工完成后，乙方负责表面找平，并达到甲方要求。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15.工程中涉及的施工设备及材料的运输和相应费用均由乙方承担。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16.按照甲方要求打墙（不含运渣），不计费。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17.完工清场并达到甲方要求。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三、工程期限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根据本工程具体情况，经双方商定，本工程开竣工日期如下：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1.开工日期：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2.竣工日期：在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日之前完整的完成所承包工程的全部内容，并负责验收达到甲方质量要求。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3.总工期：按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个工日计算工期。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4.乙方在约定的时间内未能完成合同工程内容，造成工期延误，五天内，每延误一天，罚款人民币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元；十天至十五天内，每延误一天，罚款壹佰元人民币，乙方应负责由此造成的一切损失。如遇人力不可抗拒的因素或甲方原因，工期相应顺延。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乙方在工程施工中，如发生严重的质量问题，甲方可提出暂停施工，乙方应提出处理办法报甲方同意后，方可进行整改，整改后向甲方提出复工要求，经甲方同意后方可继续施工，工期不予顺延，且乙方承担延误损失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四、工程质量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1.乙方应严格执行《建筑工程施工质量验收统一标准》（GB 50300-2013），施工质量应满足甲方的要求及相关国家规范，并且不得破坏原有房屋的结构；若乙方达不到该质量要求，则按人民币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元／m2（建筑面积）罚款，并支付给甲方因为返工所造成的损失。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2.乙方应认真按照标准、规范和设计要求组织施工，随时接受甲方的检查检验，为检查检验提供便利条件。施工中经检查、检验工程质量不合格，乙方应按甲方的要求进行整改，并承担其返工整改费用。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五、材料供应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1.本项目工程施工的钢材（螺纹钢、圆型钢、钢丝）、水泥、沙、石均由乙方采购，材料款包含在工程款中。乙方自行采购的材料应符合甲方和国家相关规范要求。所有施工工具由乙方自行准备。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2.水泥：海螺42.5MPa等级水泥，若有小厂和黑榜水泥进入工地，发现一次，甲方将对乙方罚款伍千元人民币。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注：水泥务必保证出厂日期须在3个月内，包装完好未受潮结块。经甲方书面签字同意，方可更换同等质量价格相当的品牌。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3.石子：小黑石，无泥巴、杂质等。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4.钢材：国标钢材，钢筋无毛刺，无明显锈迹。钢材购买需甲方陪同。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5.河沙：颗粒状中粗黄沙，无泥巴、杂质等。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6.所购材料须按国家现行法规和规范进行送检，以保证施工用材的质量。并向甲方提供产品合格证明和材料样品，经甲方确认后，乙方方可采购，若甲方发现进场材料与材料样品不符时，甲方有权要求乙方换货。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7.水电等PVC管、接线盒等材料由甲方提供。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注：也可在协商的基础上，甲方委托乙方代购，费用按实际另外结算。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六、工程款结算单价及支付方法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1.造价结算（填零表示无此项费用）：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楼板以双层布筋人民币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元/平米乘以平米，加上单层布筋人民币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元/平米乘以平米进行结算。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楼梯以包干价人民币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元/副乘以副，进行结算。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2.工程款预算（按设计图计算）：人民币（大写）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3.付款方式：施工队进场前期准备工作（放水平线、开槽、开孔等）完成，经甲方验收合格，付工程款人民币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元整；材料进场、支模、布筋完毕，混凝土浇灌完成后，经甲方验收合格，付总工程款的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 ；工程完工（模板拆除后）经甲方验收合格，付总工程款的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 ；模板拆除二个月后，经甲方验收认可工程无问题，按实际测量计算，结清余款。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七、双方责任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1.甲方责任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提供良好的（水/电）施工环境，办理施工过程中的人员证件及交纳相应物业管理等费用。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2.乙方责任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（1）遵守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市人民政府和有关管理部门对施工场地进出口交通、环境卫生、施工噪音等管理规定。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（2）采取可靠措施做好施工现场管线和原有建筑物、构筑物的保护工作，否则应承担由此造成的直接和间接经济损失。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（3）负责已完工程或成品和预留洞口的保护，承担未交付甲方之前发生的保护、修复费用。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（4）如施工中发生的工程或人身事故，一切责任和费用由乙方负责。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八、其他事项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1.乙方签订本合同后，不得将工程分包。如有分包行为，甲方有权解除合同，并扣除本合同签订之日前乙方所完成工程量的全部工程款，乙方无条件退出施工现场。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2.建安保险及人员意外伤害保险，由乙方自行办理，并承担费用。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3.乙方应严格按照国家施工规范和安全规范组织施工，如因乙方安全措施不力，造成事故的责任和因此发生的费用，由乙方承担。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4.甲方正常使用的情况下，乙方应按国家关于工程质量保修的有关规定，承担自工程竣工之日起为期5年的免费质量保修责任。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5.本合同（含附件）一式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份，甲乙双方各执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份，具有同等法律效力。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注：本合同自甲乙双方签字盖章之日起正式生效（复印有效）。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6.附件：本工程设计图、原房屋结构图及平面图、水电设计图等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九、管辖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因本合同引起的或与本合同有关的任何争议，由合同各方协商解决，也可由有关部门调解。协商或调解不成的，按下列第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（1）提交位于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（地点）的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仲裁委员会仲裁。仲裁裁决是终局的，对各方均有约束力；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（2）依法向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法定代表人或其委托代理人（签字）：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组织机构代码：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纳税人识别码：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邮政编码：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委托代理人：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电话：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电子信箱：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开户银行：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账号：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时间：    年    月    日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法定代表人或其委托代理人（签字）：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组织机构代码：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纳税人识别码：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邮政编码：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委托代理人：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电话：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电子信箱：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开户银行：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账号：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时间：    年    月    日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1C6C53"/>
    <w:rsid w:val="01CF6596"/>
    <w:rsid w:val="05C52FB7"/>
    <w:rsid w:val="0B65306F"/>
    <w:rsid w:val="27285CC7"/>
    <w:rsid w:val="393C6139"/>
    <w:rsid w:val="39CE1D19"/>
    <w:rsid w:val="40564740"/>
    <w:rsid w:val="482C1F40"/>
    <w:rsid w:val="4F9923C0"/>
    <w:rsid w:val="55B55277"/>
    <w:rsid w:val="62FC3CAE"/>
    <w:rsid w:val="661C6C53"/>
    <w:rsid w:val="7AAF51F2"/>
    <w:rsid w:val="7CF6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2019-06-11T09:58:00Z</dcterms:created>
  <dc:creator>Administrator</dc:creator>
  <cp:lastModifiedBy>Administrator</cp:lastModifiedBy>
  <dcterms:modified xsi:type="dcterms:W3CDTF">2019-06-11T10:24:24Z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