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招聘外包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甲方因公司招聘工作需要，与乙方本着平等自愿、协商一致、公正公平、诚实信用的原则，签订本合同。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一、主旨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公司部分岗位需要的具体人数在规定的时间内外包给乙方招聘。乙方在甲方的书面授权的前提下，以甲方的名义进行社会、校园及网络媒体招聘。乙方必须严格按照甲方的岗位说明，人数及工作内容及工作地点，诚信招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二、协议期限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日止。协议期满双方协商一致的，应以书面方式办理续延手续。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期满未上岗的，甲方无需再支付费用；双方另有约定除外。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三、招聘岗位、人数和期限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1.甲方委托乙方招聘员工（以下简称员工）的岗位和人员数量如下：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4"/>
        <w:gridCol w:w="973"/>
        <w:gridCol w:w="973"/>
        <w:gridCol w:w="973"/>
        <w:gridCol w:w="973"/>
        <w:gridCol w:w="1096"/>
        <w:gridCol w:w="2030"/>
        <w:gridCol w:w="973"/>
        <w:gridCol w:w="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岗位名称</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招聘人数</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工作地点</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到岗时间</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工资标准</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（元/月）</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服务费单价(元/人)</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岗位描述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岗位要求</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（1）甲方指派专人代表甲方全权负责此项工作：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（2）甲方所提供岗位工作信息应真实合法有效，需甲方为乙方招聘需要提供营业执照副本、组织机构代码证副本等有效证件的电子版及复印件。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（3）甲方需向乙方提供与此次招聘岗位有关的工资、绩效奖金、工作时间、加班费、保险其他补贴等标准，明确合法的岗位职责及公司的有关福利待遇。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（4）初试合格后由甲方进行复试。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（1）乙方需指派专人代表乙方全权负责此项工作：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（2）乙方按照甲方招聘要求，在协议期限内负责招聘符合条件的工作人员供甲方择优录用。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（3）乙方负责与甲方联系，对面试时间、地点、方式进行有效沟通。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（4）乙方需向甲方提供符合条件应聘者的资料，并确保资料真实。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（5）乙方需通知应聘人员前往面试地点，并负责面试相关事宜的安排。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（6）乙方须对甲方提供的薪资、营业执照等信息确保保密，只做为代理甲方招聘使用。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（7）乙方招聘时所需宣传物料应提前报备甲方，且按照甲方公司要求制作及使用。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（8）面试通过者上岗后10个工作日内，工作效果不符合甲方要求，乙方需及时另行推荐其他人选，要求与前相同。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五、费用与结算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1.外包服务费标准为：人民币</w:t>
      </w:r>
      <w:r>
        <w:rPr>
          <w:rFonts w:hint="eastAsia" w:ascii="宋体" w:hAnsi="宋体" w:eastAsia="宋体" w:cs="宋体"/>
          <w:sz w:val="24"/>
          <w:szCs w:val="24"/>
          <w:u w:val="single"/>
        </w:rPr>
        <w:t>    </w:t>
      </w:r>
      <w:r>
        <w:rPr>
          <w:rFonts w:hint="eastAsia" w:ascii="宋体" w:hAnsi="宋体" w:eastAsia="宋体" w:cs="宋体"/>
          <w:sz w:val="24"/>
          <w:szCs w:val="24"/>
        </w:rPr>
        <w:t>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2.乙方按照甲方要求招聘的员工在甲方入职且在岗</w:t>
      </w:r>
      <w:r>
        <w:rPr>
          <w:rFonts w:hint="eastAsia" w:ascii="宋体" w:hAnsi="宋体" w:eastAsia="宋体" w:cs="宋体"/>
          <w:sz w:val="24"/>
          <w:szCs w:val="24"/>
          <w:u w:val="single"/>
        </w:rPr>
        <w:t>    </w:t>
      </w:r>
      <w:r>
        <w:rPr>
          <w:rFonts w:hint="eastAsia" w:ascii="宋体" w:hAnsi="宋体" w:eastAsia="宋体" w:cs="宋体"/>
          <w:sz w:val="24"/>
          <w:szCs w:val="24"/>
        </w:rPr>
        <w:t>日后，乙方须向甲方支付每人全额服务费。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乙方招聘的员工虽入职甲方但因离职导致在岗天数未达上述要求的，甲方无需支付服务费。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3.乙方应尽量按约定的岗位、人数进行招聘；但如乙方未完成，不承担违约责任。双方按实际完成服务的人数计算服务费用。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4.超出本合同第二条约定的期限后，乙方招聘的人员在甲方入职的，服务费用按下列第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（1）甲方仍应正常支付服务费用，除非双方另有约定。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（2）甲方无需支付服务费用，除非双方另有约定。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1.违反本合同约定，或无故终止合同视为违约，违约方应按民法典有关规定，承担违约责任。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2.在合同有效期内，若无不可抗拒因素发生，甲乙双方中的任何一方都不得终止合同。而非由本合同约定的事由导致无法举办或无法如期举办，甲方需提前七天通知乙方，合同双方互不追究对方的违约责任。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3.任何一方不得在未经另一方书面同意的情况下将本合同中的全部或部分权利义务转让于任何第三方。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4.本合同项下的未尽事宜，双方友好协商并另行签订补充协议，经双方签字盖章后与本合同具同等效力。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5.双方为履行本合同而往来的信函，传真，电子邮件等书面及电子格式文件将被视为本合同的一部分，具有与本合同相同的法律效力。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6.本合同一式两份，双方各持一份。本合同自双方签字、盖章之日起生效。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EFF57D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2020-04-08T16:15:10Z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