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贻贝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养殖户（甲方）：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收购方（乙方）：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为促进贻贝业健康发展，使养殖户和经营方得到共同发展，根据《中华人民共和国民法典》及有关法律法规的规定，双方在平等、自愿、公平、诚实信用的基础上，达成如下协议：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甲方确保将其养殖的 （根）鲜贻贝销售给乙方。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二、规格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甲方提供的贻贝规格应达到乙方的要求。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按照随行就市。但是，为了保护乙方养殖的积极性，双方确定最低收购保护价为：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四、提货方式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乙方到甲方养殖所在海域或甲、乙方商定的收购地点。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五、检验方法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根据质量要求当场进行验收，边收购边检验。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乙方收到贻贝之日起1个月内结算完毕。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七、协作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在遇到台风等自然灾害时，乙方应按其能力协助甲方做好相关措施，因台风而提前收割的贻贝，规格未达到要求的，乙方应尽量予以收购，在价格上双方予以协商。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甲方未按要求履行本合同的，乙方不负责对其今后养殖贻贝的收购（包括台风季节的协作）；乙方延迟支付收购款的，应当每日按照延迟部分货款百分之 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双方在本合同履行期间发生纠纷，可采取协商解决或申请有关部门进行调解，协商或调解不成的，双方约定按下列第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1.提交舟山仲裁委员会仲裁。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F7D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