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EEF" w:rsidRPr="008F5B74" w:rsidRDefault="00D20EEF" w:rsidP="00D20EEF">
      <w:pPr>
        <w:pStyle w:val="3"/>
      </w:pPr>
      <w:bookmarkStart w:id="0" w:name="_GoBack"/>
      <w:r w:rsidRPr="008F5B74">
        <w:t>湖北省茶叶订购合同</w:t>
      </w:r>
    </w:p>
    <w:bookmarkEnd w:id="0"/>
    <w:p w:rsidR="00D20EEF" w:rsidRPr="008F5B74" w:rsidRDefault="00D20EEF">
      <w:pPr>
        <w:pStyle w:val="a7"/>
        <w:spacing w:before="196" w:beforeAutospacing="0" w:after="196" w:afterAutospacing="0" w:line="360" w:lineRule="auto"/>
        <w:jc w:val="right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>编号：___________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甲方（供方）：___________________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乙方（需方）：___________________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根据《中华人民共和国民法典》、《湖北省合同监督条例》有关规定，经甲乙双方协商一致，签订本合同。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第一条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乙方向甲方订购茶叶，订购茶叶的品种名称、品级、数量、质量标准及要求如下：</w:t>
      </w:r>
    </w:p>
    <w:tbl>
      <w:tblPr>
        <w:tblW w:w="7457" w:type="dxa"/>
        <w:tblInd w:w="434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1508"/>
        <w:gridCol w:w="2030"/>
        <w:gridCol w:w="2451"/>
      </w:tblGrid>
      <w:tr w:rsidR="00D20EEF" w:rsidRPr="008F5B74">
        <w:trPr>
          <w:trHeight w:val="607"/>
        </w:trPr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0EEF" w:rsidRPr="008F5B74" w:rsidRDefault="00D20EEF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品种名称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0EEF" w:rsidRPr="008F5B74" w:rsidRDefault="00D20EEF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品  级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0EEF" w:rsidRPr="008F5B74" w:rsidRDefault="00D20EEF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数 量（公斤）</w:t>
            </w:r>
          </w:p>
        </w:tc>
        <w:tc>
          <w:tcPr>
            <w:tcW w:w="2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0EEF" w:rsidRPr="008F5B74" w:rsidRDefault="00D20EEF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质量标准及要求</w:t>
            </w:r>
          </w:p>
        </w:tc>
      </w:tr>
      <w:tr w:rsidR="00D20EEF" w:rsidRPr="008F5B74">
        <w:trPr>
          <w:trHeight w:val="363"/>
        </w:trPr>
        <w:tc>
          <w:tcPr>
            <w:tcW w:w="1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D20EEF" w:rsidRPr="008F5B74">
        <w:trPr>
          <w:trHeight w:val="441"/>
        </w:trPr>
        <w:tc>
          <w:tcPr>
            <w:tcW w:w="1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</w:tbl>
    <w:p w:rsidR="00D20EEF" w:rsidRPr="008F5B74" w:rsidRDefault="00D20EEF" w:rsidP="008F5B74">
      <w:pPr>
        <w:pStyle w:val="a7"/>
        <w:spacing w:before="196" w:beforeAutospacing="0" w:after="196" w:afterAutospacing="0" w:line="360" w:lineRule="auto"/>
        <w:ind w:firstLineChars="200" w:firstLine="480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  <w:b/>
          <w:bCs/>
        </w:rPr>
        <w:t>第二条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订购茶叶的价格按下列第_______项执行：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（一）固定价格：_______元／公斤，合计总价款为_______元。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（二）保护价格：基准价为_______元／公斤。收购日茶叶市场价高于基准价时，按市场价收购；收购日茶叶市场价低于基准价时，按基准价收购。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（三）浮动价格：基准价为_______元／公斤。收购日茶叶市场价高于基准价时，收购价＝基准价＋（市场价－基准价）×____％；收购日茶叶市场价低于基准价时，收购价＝基准价－（基准价－市场价）×_____％。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lastRenderedPageBreak/>
        <w:t xml:space="preserve">　　第三条　茶叶由_______提供包装物并负责包装，包装标准为______________。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第四条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交货期限为_______年_______月_______日至_______年_______月_______日。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第五条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交货方式、地点及费用按下列第_______项执行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（一）送货。甲方将所订茶叶送达______________，交货日期以乙方书面签收件日期为准，运输及相关费用由_______承担。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（二）提货。甲方书面通知乙方到______________提货，交货日期以书面通知日期为准，运输及相关费用由_______承担。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（三）代办托运。甲方通过火车（汽车、轮船或_______）将所订茶叶托运到_____________________，交货日期以运输委托手续日期为准，托运及相关费用由_______承担。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第六条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货物</w:t>
      </w:r>
      <w:proofErr w:type="gramStart"/>
      <w:r w:rsidRPr="008F5B74">
        <w:rPr>
          <w:rFonts w:asciiTheme="majorEastAsia" w:eastAsiaTheme="majorEastAsia" w:hAnsiTheme="majorEastAsia" w:cstheme="majorEastAsia" w:hint="eastAsia"/>
        </w:rPr>
        <w:t>验收按</w:t>
      </w:r>
      <w:proofErr w:type="gramEnd"/>
      <w:r w:rsidRPr="008F5B74">
        <w:rPr>
          <w:rFonts w:asciiTheme="majorEastAsia" w:eastAsiaTheme="majorEastAsia" w:hAnsiTheme="majorEastAsia" w:cstheme="majorEastAsia" w:hint="eastAsia"/>
        </w:rPr>
        <w:t>下列约定执行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（一）验收地点：送货以货物到达地为验收地点；提货以提货地为验收地点；代办托运以 _____________________为验收地点。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（二）验收时间：乙方在收到货物之日起_______日内验收完毕。乙方对茶叶的质量、品种、数量、包装等有异议的，应在验收之日起_______日内书面向甲方提出。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（三）验收标准：_____________________。 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lastRenderedPageBreak/>
        <w:t xml:space="preserve">　　（四）自然损耗：茶叶自然损耗应在_______％以内（含_______％）。                                  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第七条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乙方于_______年_______月_______日前向甲方支付预付款_______元。合同履行时，预付款冲抵甲方应付货款。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第八条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货款</w:t>
      </w:r>
      <w:proofErr w:type="gramStart"/>
      <w:r w:rsidRPr="008F5B74">
        <w:rPr>
          <w:rFonts w:asciiTheme="majorEastAsia" w:eastAsiaTheme="majorEastAsia" w:hAnsiTheme="majorEastAsia" w:cstheme="majorEastAsia" w:hint="eastAsia"/>
        </w:rPr>
        <w:t>结算按</w:t>
      </w:r>
      <w:proofErr w:type="gramEnd"/>
      <w:r w:rsidRPr="008F5B74">
        <w:rPr>
          <w:rFonts w:asciiTheme="majorEastAsia" w:eastAsiaTheme="majorEastAsia" w:hAnsiTheme="majorEastAsia" w:cstheme="majorEastAsia" w:hint="eastAsia"/>
        </w:rPr>
        <w:t>下列第_______项办理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（一）现金结算，验收合格后钱货当场结清。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（二）银行结算，乙方在验收合格后_______日内，把货款汇入甲方开户银行______________，账号______________。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第九条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当事人一方要求变更或解除本合同时，应通知对方，由双方协商达成书面协议，按协议执行。未达成协议之前，本合同仍然有效。当事人一方因法定不可抗力事由可解除或变更本合同。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第十条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违约责任按下列约定执行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甲方拒绝交付所订茶叶的，按合同总价款的_______％向乙方支付违约金。甲方交付的茶叶少于所订数量的，按少交茶叶总价款的______％向乙方支付违约金。甲方逾期交付所订茶叶的，按逾期交付茶叶总价款的_______％向乙方支付违约金；愈期交付超过_______日的，乙方可以解除合同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（二）因甲方原因造成所订茶叶质量不符合要求的，按合同总价款的_______％向乙方支付违约金。</w:t>
      </w:r>
      <w:proofErr w:type="gramStart"/>
      <w:r w:rsidRPr="008F5B74">
        <w:rPr>
          <w:rFonts w:asciiTheme="majorEastAsia" w:eastAsiaTheme="majorEastAsia" w:hAnsiTheme="majorEastAsia" w:cstheme="majorEastAsia" w:hint="eastAsia"/>
        </w:rPr>
        <w:t>乙方仍</w:t>
      </w:r>
      <w:proofErr w:type="gramEnd"/>
      <w:r w:rsidRPr="008F5B74">
        <w:rPr>
          <w:rFonts w:asciiTheme="majorEastAsia" w:eastAsiaTheme="majorEastAsia" w:hAnsiTheme="majorEastAsia" w:cstheme="majorEastAsia" w:hint="eastAsia"/>
        </w:rPr>
        <w:t>需要的，甲方应按收购日市场价格交付茶叶；乙方不需要的，甲方自行处理。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lastRenderedPageBreak/>
        <w:t xml:space="preserve">　　（三）乙方拒收所订茶叶的，按合同总价款的______％向甲方支付违约金。乙方少收所订茶叶的，按少收茶叶价款的______％向甲方支付违约金。乙方逾期接收所订茶叶，按逾期接收茶叶价款的_______％向甲方支付违约金并承担由此产生的保管费用等相关损失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（四）愈期支付货款的，乙方应支付完货款，同时，按同期银行利率向甲方支付愈</w:t>
      </w:r>
      <w:proofErr w:type="gramStart"/>
      <w:r w:rsidRPr="008F5B74">
        <w:rPr>
          <w:rFonts w:asciiTheme="majorEastAsia" w:eastAsiaTheme="majorEastAsia" w:hAnsiTheme="majorEastAsia" w:cstheme="majorEastAsia" w:hint="eastAsia"/>
        </w:rPr>
        <w:t>期部分</w:t>
      </w:r>
      <w:proofErr w:type="gramEnd"/>
      <w:r w:rsidRPr="008F5B74">
        <w:rPr>
          <w:rFonts w:asciiTheme="majorEastAsia" w:eastAsiaTheme="majorEastAsia" w:hAnsiTheme="majorEastAsia" w:cstheme="majorEastAsia" w:hint="eastAsia"/>
        </w:rPr>
        <w:t>的利息，按合同总价款的______％向甲方支付违约金。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第十一条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本合同发生争议由双方协商解决，或请_______工商行政管理局调解；协商、调解不成的，按下列第_______项办理：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（一）提交______________仲裁委员会仲裁。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（二）向______________人民法院起诉。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 xml:space="preserve">第十二条　</w:t>
      </w:r>
      <w:r w:rsidRPr="008F5B74">
        <w:rPr>
          <w:rFonts w:asciiTheme="majorEastAsia" w:eastAsiaTheme="majorEastAsia" w:hAnsiTheme="majorEastAsia" w:cstheme="majorEastAsia" w:hint="eastAsia"/>
        </w:rPr>
        <w:t>本合同一式_______份，甲乙双方各执_______份。自甲乙双方签字或盖章时生效。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jc w:val="right"/>
        <w:rPr>
          <w:rFonts w:asciiTheme="majorEastAsia" w:eastAsiaTheme="majorEastAsia" w:hAnsiTheme="majorEastAsia" w:cstheme="majorEastAsia"/>
        </w:rPr>
      </w:pPr>
    </w:p>
    <w:p w:rsidR="00D20EEF" w:rsidRPr="008F5B74" w:rsidRDefault="00D20EEF">
      <w:pPr>
        <w:pStyle w:val="a7"/>
        <w:spacing w:before="196" w:beforeAutospacing="0" w:after="196" w:afterAutospacing="0" w:line="360" w:lineRule="auto"/>
        <w:jc w:val="right"/>
        <w:rPr>
          <w:rFonts w:asciiTheme="majorEastAsia" w:eastAsiaTheme="majorEastAsia" w:hAnsiTheme="majorEastAsia" w:cstheme="majorEastAsia"/>
        </w:rPr>
      </w:pPr>
    </w:p>
    <w:tbl>
      <w:tblPr>
        <w:tblStyle w:val="a3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0"/>
        <w:gridCol w:w="4240"/>
      </w:tblGrid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 xml:space="preserve">甲方（签章）：______________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乙方（签章）：______________</w:t>
            </w:r>
          </w:p>
        </w:tc>
      </w:tr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 xml:space="preserve">法定代表人：________________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法定代表人：________________</w:t>
            </w:r>
          </w:p>
        </w:tc>
      </w:tr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 xml:space="preserve">委托代表人：________________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委托代表人：________________</w:t>
            </w:r>
          </w:p>
        </w:tc>
      </w:tr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lastRenderedPageBreak/>
              <w:t xml:space="preserve">地址：______________________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地址：______________________</w:t>
            </w:r>
          </w:p>
        </w:tc>
      </w:tr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 xml:space="preserve">邮编：_______　电话：_______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邮编：_______　电话：_______</w:t>
            </w:r>
          </w:p>
        </w:tc>
      </w:tr>
    </w:tbl>
    <w:p w:rsidR="00D20EEF" w:rsidRPr="008F5B74" w:rsidRDefault="00D20EEF" w:rsidP="008F5B74">
      <w:pPr>
        <w:pStyle w:val="a7"/>
        <w:spacing w:before="196" w:beforeAutospacing="0" w:after="196" w:afterAutospacing="0" w:line="360" w:lineRule="auto"/>
        <w:ind w:firstLineChars="300" w:firstLine="720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>签约时间：______________年______________月______________日</w:t>
      </w:r>
    </w:p>
    <w:sectPr w:rsidR="00D20EEF" w:rsidRPr="008F5B74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D20EE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D20EE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D20EE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D20EE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26730"/>
    <w:rsid w:val="004566BA"/>
    <w:rsid w:val="004A6134"/>
    <w:rsid w:val="004C5B24"/>
    <w:rsid w:val="00562A42"/>
    <w:rsid w:val="005A4426"/>
    <w:rsid w:val="006451EA"/>
    <w:rsid w:val="00702D1A"/>
    <w:rsid w:val="00723F69"/>
    <w:rsid w:val="007A014A"/>
    <w:rsid w:val="008038B2"/>
    <w:rsid w:val="00832986"/>
    <w:rsid w:val="008723C7"/>
    <w:rsid w:val="008C59E4"/>
    <w:rsid w:val="009527A2"/>
    <w:rsid w:val="00960B1D"/>
    <w:rsid w:val="009921E5"/>
    <w:rsid w:val="00992FA2"/>
    <w:rsid w:val="009C1E7A"/>
    <w:rsid w:val="009C4241"/>
    <w:rsid w:val="009D7807"/>
    <w:rsid w:val="00AD6B3E"/>
    <w:rsid w:val="00B7336C"/>
    <w:rsid w:val="00B778F1"/>
    <w:rsid w:val="00C22AC6"/>
    <w:rsid w:val="00C85FE8"/>
    <w:rsid w:val="00CE1FEC"/>
    <w:rsid w:val="00D10FB9"/>
    <w:rsid w:val="00D20EEF"/>
    <w:rsid w:val="00D367CB"/>
    <w:rsid w:val="00DD700F"/>
    <w:rsid w:val="00E67252"/>
    <w:rsid w:val="00EA5CE7"/>
    <w:rsid w:val="00EB529E"/>
    <w:rsid w:val="00EC0054"/>
    <w:rsid w:val="00EC11D2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2019-03-22T10:47:00Z</dcterms:created>
  <dcterms:modified xsi:type="dcterms:W3CDTF">2019-03-22T10:47:00Z</dcterms:modified>
</cp:coreProperties>
</file>