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外墙真石漆喷涂工程施工合同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建设工程质量管理条例》以及其他有关法律法规规定的原则，结合本工程的具体情况，甲方同意将营销中心外立面真石漆涂刷工程发包给乙方进行施工，乙方在签署本合同前已自行对施工现场进行踏勘，在报价时已充分考虑现场环境因素，特制定本合同条款供双方严格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工程名称：GRC表面真石漆涂刷工程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承包内容：基面处理、刮弹性腻子、打磨、刷底漆、基层处理、喷涂真石漆面漆、成品保护等与完成本工程相关的所有工作。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（1）乙方包工包料，具体的施工内容包括但不限于基面处理、批弹性腻子、打磨、刷底漆、抹涂真石漆面漆、成品保护。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（2）乙方自行配备抹刀、腻刀、托板、滚筒、喷枪等其他工具。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（3）甲方负责乙方施工的架子、水电。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固定单价为：每平方人民币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元/m2），乙方完工后根据实际面积结算，上述费用包材料、人工费、机械、包工期、包安全、含税等完与工程有关的所有内容。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施工完毕经初验收合格后5日内支付总金额的95%，剩余5%作为质保金，一年质保期满后无任何质量问题无息支付。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乙方在要求支付相应的合同价款时，必须按照甲方的要求提供合法的正式发票，否则甲方有权拒绝付款并不承担任何责任。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双方约定工期为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日共计</w:t>
      </w:r>
      <w:r>
        <w:rPr>
          <w:rFonts w:hint="eastAsia" w:ascii="宋体" w:hAnsi="宋体" w:eastAsia="宋体" w:cs="宋体"/>
          <w:sz w:val="24"/>
          <w:szCs w:val="24"/>
          <w:u w:val="single"/>
        </w:rPr>
        <w:t>    </w:t>
      </w:r>
      <w:r>
        <w:rPr>
          <w:rFonts w:hint="eastAsia" w:ascii="宋体" w:hAnsi="宋体" w:eastAsia="宋体" w:cs="宋体"/>
          <w:sz w:val="24"/>
          <w:szCs w:val="24"/>
        </w:rPr>
        <w:t>天，若实际开工日期与上述约定不一致的，则以实际开工日期为准计算工期。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乙方应按规定缴纳施工人员保险费等其他行政管理费用，若乙方拒不缴纳，甲方可代办理手续和交费，费用由甲方在乙方的总施工费用中扣除。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若因甲方原因导致误工，工期相应顺延，乙方不承担延期责任。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由于乙方自身原因引起的工期延误，每延误一天，罚工程总造价的1%。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材料及保管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由乙方使用甲方指定品牌的真石漆负责施工。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原材料进入施工现场后应服从甲方总承包方及甲方的管理，现场保管由乙方自行负责，并做好防火防盗工作，甲方全力配合。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材料到场后，甲方有权组织相关技术部门进行表观验收，验收合格后方可继续施工，但甲方的表观验收行为并不免除乙方按照合同及法律约定应当承担的质量保证责任。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验收及维护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保证工程质量为合格，本工程完工后甲方进行竣工验收，验收的标准以合同的约定及相关行业标准进行质量验收，且不得出现涂层开裂、遇水发白发花、掉渣、涂层不均匀、脱落、起泡起鼓、颜色不均匀以及其他明显质量问题，否则视为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工程根据甲方意图由乙方施工，采用刮涂工艺，完工后应有质感效果。经甲方书面确认的设计图为有效的施工依据，乙方不得擅自设计或擅自变更经甲方认可的设计，否则甲方有权要求乙方立即停止施工，造成其他损失的，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甲方的初步表观验收及阶段完工验收，不能免除因乙方产品及施工产生的质量问题，乙方负责涂刷部分免费终生维护。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质量及安全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乙方负责现场整个施工工程的现场管理及人员安全事宜，包括人员的安全教育培训，施工过程中安全管理事项，保证施工安全。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因本工程发生的任何安全事故和赔偿责任，均由乙方承担相应的责任，若因乙方的原因导致甲方承担了相应的赔偿责任的，甲方在承担责任后有权向乙方追偿，追偿的范围包括但不限于已赔偿的金额、诉讼费、律师费等其他为实现追偿权利的一切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甲方应按照合同规定时间支付款项，如逾期乙方有权提出异议并要求甲方承担日万分之五的违约金。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按照工期及质量完成本工程，逾期未完成的应承担日万分之五的违约金支付给甲方，若工程完工经初验不合格乙方应及时整改且工期不予顺延，若到期整改仍达不到合同标准则甲方有权单方解除本协议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如发生争议双方应友好协商解决，另行签订的补充协议与本合同具有同等效力。如协商不成，应向甲方所在地有管辖权的人民法院提起诉讼。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一方将履行合同的有关通知发送给对方在本合同中约定的地址即视为有效送达，一方变更通讯地址应以书面方式通知对方，否则视为未变更通讯地址。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本合同自双方签订之日起生效，一式两份具有同等效力，双方各执一份，附件与本合同具有同等法律效力。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3、经双方认可的现场施工图纸及其他相关材料。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w:t>
            </w:r>
            <w:r>
              <w:rPr>
                <w:rFonts w:hint="eastAsia" w:ascii="宋体" w:hAnsi="宋体" w:eastAsia="宋体" w:cs="宋体"/>
                <w:sz w:val="24"/>
                <w:szCs w:val="24"/>
              </w:rPr>
              <w:t>签订时间：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2D13514A"/>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