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7"/>
          <w:rFonts w:hint="eastAsia" w:ascii="宋体" w:hAnsi="宋体" w:eastAsia="宋体" w:cs="宋体"/>
          <w:b/>
          <w:sz w:val="32"/>
          <w:szCs w:val="32"/>
        </w:rPr>
        <w:t>设备买卖合同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乙方（需方）：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为了保护供需各方合法权益，根据《中华人民共和国政府采购法》、《中华人民共和国民法典》等相关法律法规的规定并严格遵循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市采购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协议采购（招标编号：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）招标文件、“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市政府采购供货协议”中的相关规定，签订本合同，并共同遵守。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一、资金来源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合同采购的产品所需资金来源构成为：预算内□；预算外□；自筹□。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付款方式为：财政直接支付（  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（以上按实际情况打“√”确认，涂改无效。）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二、货物品牌、型号和复印速度、单价、数量、金额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1.非免费送货上门范围为的运费最低要求为：每台复印机或一体机（速印机）的运费1台不得超过￥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元，每一批次不得超过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元，具体运费标准以投标人承诺为准。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2.若单次采购金额大于￥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元，采购单位必须报请招投标管理办公室重新确定采购方式。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3.耗材送货方式及运费按承诺执行。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4.“实际采购价格”=“标配产品协议供货价格”；选配件协议供货价格”+“耗材协议供货价格”+“运费”。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5.如表格中某项内容没有，则用斜线划去。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三、保修期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上述产品的保修期为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月；免费更换时间为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月；响应时间为：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小时；故障排除时间为：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小时；备品备件提供时间为：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四、交（提）货时间、地点、方式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日前将货物送至以下指定地点交由需方指定收货人；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供货商应在交货前向需方提供交货计划；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运输、保险和装卸的费用由供货商承担。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五、验收标准及提出异议时间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验收标准：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1.装箱单；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2.供方保证一次开箱合格率大于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提出异议时间：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1.供货商逾期履行合同的，自逾期之日起，向需方每日偿付合同总价万分之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的滞纳金；供方逾期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日不能交货的，应向需方支付合同总价百分之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的违约金，并且不再退还质量保证金。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2.需方逾期支付货款的，自逾期之日起，向供方每日偿付合同总价万分之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的滞纳金；需方无正当理由拒付货款的，应向供方偿付合同总价百分之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3.供货商在协议供货有效期内违反本合同有关质量保证及售后服务的，将予以没收质量保证金，赔偿损失部分，按本合同第七条处理；在协议供货有效期外发生质量问题的，按本合同第七条处理。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七、因合同执行而产生问题的解决方式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1.双方协商解决；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2.向供货商指定协调人反映；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3.向采购中心反映；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4.向政府采购管理部门投诉；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5.提请仲裁；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向人民法院提起诉讼。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八、供货商指定协调人电话：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九、采购办投诉电话：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市采购中心一体机（速印机）协议采购（招标编号：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）招标文件以及投标文件、“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市政府采购供货协议”是本合同不可分割的组成部分，本合同未尽事宜从其规定。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本合同一式三份，供货商、需方、县招投标中心各一份，由供货商每月在结算时统一向采购办（或采购中心）汇总上报。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本合同应经需方单位和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招投标中心审核并加盖专用章方为有效。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本合同经供货商和需方签字、盖章后生效。合同内容如遇国家法律、法规及政策另有规定的，从其规定。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需方（签字或盖章）：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供货商（签字或盖章）：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92512B0"/>
    <w:rsid w:val="098A3D7D"/>
    <w:rsid w:val="6AFF66CE"/>
    <w:rsid w:val="FBBEB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2019-07-08T16:17:00Z</dcterms:created>
  <dc:creator>Administrator</dc:creator>
  <cp:lastModifiedBy>Administrator</cp:lastModifiedBy>
  <dcterms:modified xsi:type="dcterms:W3CDTF">2020-03-31T11:10:17Z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