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EC2" w:rsidRPr="009D09BE" w:rsidRDefault="00482EC2" w:rsidP="00482EC2">
      <w:pPr>
        <w:pStyle w:val="3"/>
      </w:pPr>
      <w:bookmarkStart w:id="0" w:name="_GoBack"/>
      <w:r w:rsidRPr="009D09BE">
        <w:rPr>
          <w:rFonts w:hint="eastAsia"/>
        </w:rPr>
        <w:t>蚕茧买卖合同</w:t>
      </w:r>
    </w:p>
    <w:bookmarkEnd w:id="0"/>
    <w:p w:rsidR="00482EC2" w:rsidRPr="009D09BE" w:rsidRDefault="00482EC2">
      <w:pPr>
        <w:pStyle w:val="a3"/>
        <w:wordWrap w:val="0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甲乙（供方）：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             </w:t>
      </w:r>
    </w:p>
    <w:p w:rsidR="00482EC2" w:rsidRPr="009D09BE" w:rsidRDefault="00482EC2">
      <w:pPr>
        <w:pStyle w:val="a3"/>
        <w:wordWrap w:val="0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乙方（需方）：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             </w:t>
      </w:r>
    </w:p>
    <w:p w:rsidR="00482EC2" w:rsidRPr="009D09BE" w:rsidRDefault="00482EC2">
      <w:pPr>
        <w:pStyle w:val="a3"/>
        <w:wordWrap w:val="0"/>
        <w:spacing w:beforeLines="100" w:before="312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根据《中华人民共和国民法典》、《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   </w:t>
      </w:r>
      <w:r w:rsidRPr="009D09BE">
        <w:rPr>
          <w:rFonts w:asciiTheme="minorEastAsia" w:hAnsiTheme="minorEastAsia" w:cs="华文宋体"/>
          <w:color w:val="000000"/>
        </w:rPr>
        <w:t>省合同监督条例》有关规定，经甲乙双方协商一致，签订本合同。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第1条</w:t>
      </w:r>
      <w:r w:rsidRPr="009D09BE">
        <w:rPr>
          <w:rFonts w:asciiTheme="minorEastAsia" w:hAnsiTheme="minorEastAsia" w:cs="华文宋体"/>
          <w:color w:val="000000"/>
        </w:rPr>
        <w:t>  订购蚕茧的品种、品级、数量、质量标准及要求如下：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1398"/>
        <w:gridCol w:w="819"/>
        <w:gridCol w:w="1976"/>
        <w:gridCol w:w="2265"/>
        <w:gridCol w:w="1832"/>
      </w:tblGrid>
      <w:tr w:rsidR="00482EC2" w:rsidRPr="00FA3BE5" w:rsidTr="00B05DFE"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品种名称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品级</w:t>
            </w:r>
          </w:p>
        </w:tc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数量（公斤）</w:t>
            </w:r>
          </w:p>
        </w:tc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质量标准及要求</w:t>
            </w:r>
          </w:p>
        </w:tc>
        <w:tc>
          <w:tcPr>
            <w:tcW w:w="11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备注</w:t>
            </w:r>
          </w:p>
        </w:tc>
      </w:tr>
      <w:tr w:rsidR="00482EC2" w:rsidRPr="00FA3BE5" w:rsidTr="00B05DFE"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</w:tr>
      <w:tr w:rsidR="00482EC2" w:rsidRPr="00FA3BE5" w:rsidTr="00B05DFE"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</w:tr>
      <w:tr w:rsidR="00482EC2" w:rsidRPr="00FA3BE5" w:rsidTr="00B05DFE"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</w:tr>
    </w:tbl>
    <w:p w:rsidR="00482EC2" w:rsidRPr="009D09BE" w:rsidRDefault="00482EC2" w:rsidP="009D09BE">
      <w:pPr>
        <w:pStyle w:val="a3"/>
        <w:wordWrap w:val="0"/>
        <w:spacing w:beforeLines="100" w:before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第2条</w:t>
      </w:r>
      <w:r w:rsidRPr="009D09BE">
        <w:rPr>
          <w:rFonts w:asciiTheme="minorEastAsia" w:hAnsiTheme="minorEastAsia" w:cs="华文宋体"/>
          <w:color w:val="000000"/>
        </w:rPr>
        <w:t>  订购蚕茧的价格按下列第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项执行：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（1）固定价格：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元/公斤，合计总价款为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（2）保护价格：基准价为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元/公斤。收购日蚕茧市场价高于基准时，按市场价收购；收购日蚕茧市场价低于基准价时，按基准价收购。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（3）浮动价格：基准价为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元/公斤，收购日蚕茧市场价高于基准价时，收购价=基准价＋（市场价－基准价）</w:t>
      </w:r>
      <w:r w:rsidRPr="00387895">
        <w:rPr>
          <w:rFonts w:asciiTheme="minorEastAsia" w:hAnsiTheme="minorEastAsia" w:cs="华文宋体"/>
          <w:color w:val="000000"/>
        </w:rPr>
        <w:t>×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387895">
        <w:rPr>
          <w:rFonts w:asciiTheme="minorEastAsia" w:hAnsiTheme="minorEastAsia" w:cs="华文宋体"/>
          <w:color w:val="000000"/>
        </w:rPr>
        <w:t>%</w:t>
      </w:r>
      <w:r w:rsidRPr="009D09BE">
        <w:rPr>
          <w:rFonts w:asciiTheme="minorEastAsia" w:hAnsiTheme="minorEastAsia" w:cs="华文宋体"/>
          <w:color w:val="000000"/>
        </w:rPr>
        <w:t>，收购日蚕茧市场价低于基准价时，收购价=基准价－（基准价－市场价）</w:t>
      </w:r>
      <w:r w:rsidRPr="00387895">
        <w:rPr>
          <w:rFonts w:asciiTheme="minorEastAsia" w:hAnsiTheme="minorEastAsia" w:cs="华文宋体"/>
          <w:color w:val="000000"/>
        </w:rPr>
        <w:t>×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387895">
        <w:rPr>
          <w:rFonts w:asciiTheme="minorEastAsia" w:hAnsiTheme="minorEastAsia" w:cs="华文宋体"/>
          <w:color w:val="000000"/>
        </w:rPr>
        <w:t>%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第3条</w:t>
      </w:r>
      <w:r w:rsidRPr="009D09BE">
        <w:rPr>
          <w:rFonts w:asciiTheme="minorEastAsia" w:hAnsiTheme="minorEastAsia" w:cs="华文宋体"/>
          <w:color w:val="000000"/>
        </w:rPr>
        <w:t> </w:t>
      </w:r>
      <w:r w:rsidRPr="00387895">
        <w:rPr>
          <w:rFonts w:asciiTheme="minorEastAsia" w:hAnsiTheme="minorEastAsia" w:cs="华文宋体"/>
          <w:color w:val="000000"/>
        </w:rPr>
        <w:t xml:space="preserve"> </w:t>
      </w:r>
      <w:r w:rsidRPr="009D09BE">
        <w:rPr>
          <w:rFonts w:asciiTheme="minorEastAsia" w:hAnsiTheme="minorEastAsia" w:cs="华文宋体"/>
          <w:color w:val="000000"/>
        </w:rPr>
        <w:t>蚕茧由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提供包装物并负责包装，包装标准为</w:t>
      </w:r>
      <w:r w:rsidRPr="009D09BE">
        <w:rPr>
          <w:rFonts w:asciiTheme="minorEastAsia" w:hAnsiTheme="minorEastAsia" w:cs="华文宋体"/>
          <w:color w:val="000000"/>
          <w:u w:val="single"/>
        </w:rPr>
        <w:t>  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                  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lastRenderedPageBreak/>
        <w:t>第4条</w:t>
      </w:r>
      <w:r w:rsidRPr="009D09BE">
        <w:rPr>
          <w:rFonts w:asciiTheme="minorEastAsia" w:hAnsiTheme="minorEastAsia" w:cs="华文宋体"/>
          <w:color w:val="000000"/>
        </w:rPr>
        <w:t>  交货期限自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9D09BE">
        <w:rPr>
          <w:rFonts w:asciiTheme="minorEastAsia" w:hAnsiTheme="minorEastAsia" w:cs="华文宋体"/>
          <w:color w:val="000000"/>
          <w:u w:val="single"/>
        </w:rPr>
        <w:t>    </w:t>
      </w:r>
      <w:r w:rsidRPr="009D09BE">
        <w:rPr>
          <w:rFonts w:asciiTheme="minorEastAsia" w:hAnsiTheme="minorEastAsia" w:cs="华文宋体"/>
          <w:color w:val="000000"/>
        </w:rPr>
        <w:t>年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9D09BE">
        <w:rPr>
          <w:rFonts w:asciiTheme="minorEastAsia" w:hAnsiTheme="minorEastAsia" w:cs="华文宋体"/>
          <w:color w:val="000000"/>
          <w:u w:val="single"/>
        </w:rPr>
        <w:t>   </w:t>
      </w:r>
      <w:r w:rsidRPr="009D09BE">
        <w:rPr>
          <w:rFonts w:asciiTheme="minorEastAsia" w:hAnsiTheme="minorEastAsia" w:cs="华文宋体"/>
          <w:color w:val="000000"/>
        </w:rPr>
        <w:t>月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日起至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</w:t>
      </w:r>
      <w:r w:rsidRPr="009D09BE">
        <w:rPr>
          <w:rFonts w:asciiTheme="minorEastAsia" w:hAnsiTheme="minorEastAsia" w:cs="华文宋体"/>
          <w:color w:val="000000"/>
        </w:rPr>
        <w:t>年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月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日止。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第5条</w:t>
      </w:r>
      <w:r w:rsidRPr="009D09BE">
        <w:rPr>
          <w:rFonts w:asciiTheme="minorEastAsia" w:hAnsiTheme="minorEastAsia" w:cs="华文宋体"/>
          <w:color w:val="000000"/>
        </w:rPr>
        <w:t>  交货方式、地点及费用按下列第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项执行：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（1）送货。甲方将所订蚕茧送达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，交货日期以乙方书面签收件日期为准，运输及相关费用由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承担。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（2）提货。甲方书面通知乙方到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提货，交货日期以书面通知日期为准，运输及相关费用由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承担。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（3）代办托运。甲方通过火车（汽车、轮船或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）将所订蚕茧托运到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，交货日期以运输委托手续日期为准，托运及相关费用由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承担。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第6条</w:t>
      </w:r>
      <w:r w:rsidRPr="009D09BE">
        <w:rPr>
          <w:rFonts w:asciiTheme="minorEastAsia" w:hAnsiTheme="minorEastAsia" w:cs="华文宋体"/>
          <w:color w:val="000000"/>
        </w:rPr>
        <w:t>  货物</w:t>
      </w:r>
      <w:proofErr w:type="gramStart"/>
      <w:r w:rsidRPr="009D09BE">
        <w:rPr>
          <w:rFonts w:asciiTheme="minorEastAsia" w:hAnsiTheme="minorEastAsia" w:cs="华文宋体"/>
          <w:color w:val="000000"/>
        </w:rPr>
        <w:t>验收按</w:t>
      </w:r>
      <w:proofErr w:type="gramEnd"/>
      <w:r w:rsidRPr="009D09BE">
        <w:rPr>
          <w:rFonts w:asciiTheme="minorEastAsia" w:hAnsiTheme="minorEastAsia" w:cs="华文宋体"/>
          <w:color w:val="000000"/>
        </w:rPr>
        <w:t>下列约定执行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（1）验收地点：送货以货物到达地为验收地点，提货以提货地为验收地点，代办托运以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为验收地点。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（2）验收时间：乙方在收到货物之日起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日内验收完毕。乙方对蚕茧的质量、等级、数量、包装有异议的，应在验收之日起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日内书面向甲方提出。</w:t>
      </w:r>
      <w:r w:rsidRPr="009D09BE">
        <w:rPr>
          <w:rFonts w:asciiTheme="minorEastAsia" w:hAnsiTheme="minorEastAsia" w:cs="华文宋体" w:hint="eastAsia"/>
          <w:color w:val="000000"/>
        </w:rPr>
        <w:t>未在约定期限内提出的，视为无异议。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（3）验收标准</w:t>
      </w:r>
      <w:r>
        <w:rPr>
          <w:rFonts w:asciiTheme="minorEastAsia" w:hAnsiTheme="minorEastAsia" w:cs="华文宋体" w:hint="eastAsia"/>
          <w:color w:val="000000"/>
        </w:rPr>
        <w:t>：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（4）自然损耗：蚕茧自然损耗应在订购蚕茧总数量的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%以</w:t>
      </w:r>
      <w:r w:rsidRPr="009D09BE">
        <w:rPr>
          <w:rFonts w:asciiTheme="minorEastAsia" w:hAnsiTheme="minorEastAsia" w:cs="华文宋体" w:hint="eastAsia"/>
          <w:color w:val="000000"/>
        </w:rPr>
        <w:t>内</w:t>
      </w:r>
      <w:r w:rsidRPr="009D09BE">
        <w:rPr>
          <w:rFonts w:asciiTheme="minorEastAsia" w:hAnsiTheme="minorEastAsia" w:cs="华文宋体"/>
          <w:color w:val="000000"/>
        </w:rPr>
        <w:t>（含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      </w:t>
      </w:r>
      <w:r w:rsidRPr="009D09BE">
        <w:rPr>
          <w:rFonts w:asciiTheme="minorEastAsia" w:hAnsiTheme="minorEastAsia" w:cs="华文宋体"/>
          <w:color w:val="000000"/>
        </w:rPr>
        <w:t>%）。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第7条</w:t>
      </w:r>
      <w:r w:rsidRPr="009D09BE">
        <w:rPr>
          <w:rFonts w:asciiTheme="minorEastAsia" w:hAnsiTheme="minorEastAsia" w:cs="华文宋体"/>
          <w:color w:val="000000"/>
        </w:rPr>
        <w:t>  乙方于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</w:t>
      </w:r>
      <w:r w:rsidRPr="009D09BE">
        <w:rPr>
          <w:rFonts w:asciiTheme="minorEastAsia" w:hAnsiTheme="minorEastAsia" w:cs="华文宋体"/>
          <w:color w:val="000000"/>
        </w:rPr>
        <w:t>年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月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日前向甲方支付预付款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合同履行时，预付款冲抵甲方应收货款。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lastRenderedPageBreak/>
        <w:t>第8条</w:t>
      </w:r>
      <w:r w:rsidRPr="009D09BE">
        <w:rPr>
          <w:rFonts w:asciiTheme="minorEastAsia" w:hAnsiTheme="minorEastAsia" w:cs="华文宋体"/>
          <w:color w:val="000000"/>
        </w:rPr>
        <w:t>  货款</w:t>
      </w:r>
      <w:proofErr w:type="gramStart"/>
      <w:r w:rsidRPr="009D09BE">
        <w:rPr>
          <w:rFonts w:asciiTheme="minorEastAsia" w:hAnsiTheme="minorEastAsia" w:cs="华文宋体"/>
          <w:color w:val="000000"/>
        </w:rPr>
        <w:t>结算按</w:t>
      </w:r>
      <w:proofErr w:type="gramEnd"/>
      <w:r w:rsidRPr="009D09BE">
        <w:rPr>
          <w:rFonts w:asciiTheme="minorEastAsia" w:hAnsiTheme="minorEastAsia" w:cs="华文宋体"/>
          <w:color w:val="000000"/>
        </w:rPr>
        <w:t>下列第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项办理。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（1）现金结算：乙方验收合格后钱货当场结清。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（2）银行结算：乙方在验收合格后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日内，把货款汇入甲方开户银行：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</w:t>
      </w:r>
      <w:r w:rsidRPr="009D09BE">
        <w:rPr>
          <w:rFonts w:asciiTheme="minorEastAsia" w:hAnsiTheme="minorEastAsia" w:cs="华文宋体"/>
          <w:color w:val="000000"/>
        </w:rPr>
        <w:t>，</w:t>
      </w:r>
      <w:r w:rsidRPr="009D09BE">
        <w:rPr>
          <w:rFonts w:asciiTheme="minorEastAsia" w:hAnsiTheme="minorEastAsia" w:cs="华文宋体" w:hint="eastAsia"/>
          <w:color w:val="000000"/>
        </w:rPr>
        <w:t>账号</w:t>
      </w:r>
      <w:r w:rsidRPr="009D09BE">
        <w:rPr>
          <w:rFonts w:asciiTheme="minorEastAsia" w:hAnsiTheme="minorEastAsia" w:cs="华文宋体"/>
          <w:color w:val="000000"/>
        </w:rPr>
        <w:t>：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            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第9条</w:t>
      </w:r>
      <w:r w:rsidRPr="009D09BE">
        <w:rPr>
          <w:rFonts w:asciiTheme="minorEastAsia" w:hAnsiTheme="minorEastAsia" w:cs="华文宋体"/>
          <w:color w:val="000000"/>
        </w:rPr>
        <w:t xml:space="preserve"> </w:t>
      </w:r>
      <w:r w:rsidRPr="00387895">
        <w:rPr>
          <w:rFonts w:asciiTheme="minorEastAsia" w:hAnsiTheme="minorEastAsia" w:cs="华文宋体"/>
          <w:color w:val="000000"/>
        </w:rPr>
        <w:t xml:space="preserve"> </w:t>
      </w:r>
      <w:r>
        <w:rPr>
          <w:rFonts w:asciiTheme="minorEastAsia" w:hAnsiTheme="minorEastAsia" w:cs="华文宋体"/>
          <w:color w:val="000000"/>
        </w:rPr>
        <w:t xml:space="preserve"> </w:t>
      </w:r>
      <w:r w:rsidRPr="009D09BE">
        <w:rPr>
          <w:rFonts w:asciiTheme="minorEastAsia" w:hAnsiTheme="minorEastAsia" w:cs="华文宋体"/>
          <w:color w:val="000000"/>
        </w:rPr>
        <w:t>当事人一方要求变更或解除合同的，应通知对方，由双方协商达成书面协议，按协议执行。未达成协议之前，仍按本合同执行。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第10条 </w:t>
      </w:r>
      <w:r w:rsidRPr="00387895">
        <w:rPr>
          <w:rFonts w:asciiTheme="minorEastAsia" w:hAnsiTheme="minorEastAsia" w:cs="华文宋体"/>
          <w:b/>
          <w:color w:val="000000"/>
        </w:rPr>
        <w:t xml:space="preserve"> </w:t>
      </w:r>
      <w:r w:rsidRPr="009D09BE">
        <w:rPr>
          <w:rFonts w:asciiTheme="minorEastAsia" w:hAnsiTheme="minorEastAsia" w:cs="华文宋体"/>
          <w:color w:val="000000"/>
        </w:rPr>
        <w:t>违约责任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（1）甲方拒绝交付所订蚕茧时，按合同总价款的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%向乙方支付违约金。甲方交付的蚕茧少于所订数量的，且少交蚕茧数量超出自然损耗范围的，按少交蚕茧数量扣除自然损耗部分的总价款的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%向乙方支付违约金。甲方逾期交付所订蚕茧的，按逾期交付蚕茧总价款的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%向乙方支付违约金，逾期交付超过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日的，乙方可以解除合同。因甲方拒交、少交、逾期交</w:t>
      </w:r>
      <w:r w:rsidRPr="009D09BE">
        <w:rPr>
          <w:rFonts w:asciiTheme="minorEastAsia" w:hAnsiTheme="minorEastAsia" w:cs="华文宋体" w:hint="eastAsia"/>
          <w:color w:val="000000"/>
        </w:rPr>
        <w:t>付</w:t>
      </w:r>
      <w:r w:rsidRPr="009D09BE">
        <w:rPr>
          <w:rFonts w:asciiTheme="minorEastAsia" w:hAnsiTheme="minorEastAsia" w:cs="华文宋体"/>
          <w:color w:val="000000"/>
        </w:rPr>
        <w:t>蚕茧，给乙方造成损失的，</w:t>
      </w:r>
      <w:r w:rsidRPr="009D09BE">
        <w:rPr>
          <w:rFonts w:asciiTheme="minorEastAsia" w:hAnsiTheme="minorEastAsia" w:cs="华文宋体" w:hint="eastAsia"/>
          <w:color w:val="000000"/>
        </w:rPr>
        <w:t>应</w:t>
      </w:r>
      <w:r w:rsidRPr="009D09BE">
        <w:rPr>
          <w:rFonts w:asciiTheme="minorEastAsia" w:hAnsiTheme="minorEastAsia" w:cs="华文宋体"/>
          <w:color w:val="000000"/>
        </w:rPr>
        <w:t>赔偿乙方损失。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（2）因甲方原因造成所订蚕茧质量不符合要求的，按合同总价款的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    </w:t>
      </w:r>
      <w:r w:rsidRPr="009D09BE">
        <w:rPr>
          <w:rFonts w:asciiTheme="minorEastAsia" w:hAnsiTheme="minorEastAsia" w:cs="华文宋体"/>
          <w:color w:val="000000"/>
        </w:rPr>
        <w:t>%向乙方支付违约金，给乙方造成损失的，赔偿乙方损失。</w:t>
      </w:r>
      <w:proofErr w:type="gramStart"/>
      <w:r w:rsidRPr="009D09BE">
        <w:rPr>
          <w:rFonts w:asciiTheme="minorEastAsia" w:hAnsiTheme="minorEastAsia" w:cs="华文宋体"/>
          <w:color w:val="000000"/>
        </w:rPr>
        <w:t>乙方仍</w:t>
      </w:r>
      <w:proofErr w:type="gramEnd"/>
      <w:r w:rsidRPr="009D09BE">
        <w:rPr>
          <w:rFonts w:asciiTheme="minorEastAsia" w:hAnsiTheme="minorEastAsia" w:cs="华文宋体"/>
          <w:color w:val="000000"/>
        </w:rPr>
        <w:t>需要的，收购价格由双方另行协商；乙方不需要的，甲方自行处理</w:t>
      </w:r>
      <w:r w:rsidRPr="009D09BE">
        <w:rPr>
          <w:rFonts w:asciiTheme="minorEastAsia" w:hAnsiTheme="minorEastAsia" w:cs="华文宋体" w:hint="eastAsia"/>
          <w:color w:val="000000"/>
        </w:rPr>
        <w:t>，损失由甲方自行承担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（3）乙方拒收蚕茧的，按合同总价款的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%向甲方支付违约金。乙方少收所订蚕茧计划的，按少收蚕茧价款的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%向甲方支付违约金。乙方逾期收购所订购蚕茧的，按逾期收购蚕茧总价款的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%向甲方支付违约金，逾期收购超过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日的，甲方可以解除合同。因乙方拒收、少收、逾期收购蚕茧给甲方造成损失的，</w:t>
      </w:r>
      <w:r w:rsidRPr="009D09BE">
        <w:rPr>
          <w:rFonts w:asciiTheme="minorEastAsia" w:hAnsiTheme="minorEastAsia" w:cs="华文宋体" w:hint="eastAsia"/>
          <w:color w:val="000000"/>
        </w:rPr>
        <w:t>应</w:t>
      </w:r>
      <w:r w:rsidRPr="009D09BE">
        <w:rPr>
          <w:rFonts w:asciiTheme="minorEastAsia" w:hAnsiTheme="minorEastAsia" w:cs="华文宋体"/>
          <w:color w:val="000000"/>
        </w:rPr>
        <w:t>赔偿甲方损失。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lastRenderedPageBreak/>
        <w:t>（4）乙方逾期支付货款的，除应继续结清货款外，还应按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 </w:t>
      </w:r>
      <w:r w:rsidRPr="009D09BE">
        <w:rPr>
          <w:rFonts w:asciiTheme="minorEastAsia" w:hAnsiTheme="minorEastAsia" w:cs="华文宋体"/>
          <w:color w:val="000000"/>
        </w:rPr>
        <w:t>利率向甲方支付逾期部分的利息，并按合同总价款的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%向甲方支付违约金。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第11条</w:t>
      </w:r>
      <w:r w:rsidRPr="009D09BE">
        <w:rPr>
          <w:rFonts w:asciiTheme="minorEastAsia" w:hAnsiTheme="minorEastAsia" w:cs="华文宋体"/>
          <w:color w:val="000000"/>
        </w:rPr>
        <w:t>  本合同若发生争议，可由双方协商解决，或请</w:t>
      </w:r>
      <w:r w:rsidRPr="009D09BE">
        <w:rPr>
          <w:rFonts w:asciiTheme="minorEastAsia" w:hAnsiTheme="minorEastAsia" w:cs="华文宋体"/>
          <w:color w:val="000000"/>
          <w:u w:val="single"/>
        </w:rPr>
        <w:t>       </w:t>
      </w:r>
      <w:r w:rsidRPr="009D09BE">
        <w:rPr>
          <w:rFonts w:asciiTheme="minorEastAsia" w:hAnsiTheme="minorEastAsia" w:cs="华文宋体"/>
          <w:color w:val="000000"/>
        </w:rPr>
        <w:t>工商行政管理局调解；也可按下列第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项方式办理：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（1）提交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仲裁委员会仲裁。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（2）向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人民法院起诉。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第12条</w:t>
      </w:r>
      <w:r w:rsidRPr="009D09BE">
        <w:rPr>
          <w:rFonts w:asciiTheme="minorEastAsia" w:hAnsiTheme="minorEastAsia" w:cs="华文宋体"/>
          <w:color w:val="000000"/>
        </w:rPr>
        <w:t>  本合同</w:t>
      </w:r>
      <w:r w:rsidRPr="009D09BE">
        <w:rPr>
          <w:rFonts w:asciiTheme="minorEastAsia" w:hAnsiTheme="minorEastAsia" w:cs="华文宋体" w:hint="eastAsia"/>
          <w:color w:val="000000"/>
        </w:rPr>
        <w:t>一</w:t>
      </w:r>
      <w:r w:rsidRPr="009D09BE">
        <w:rPr>
          <w:rFonts w:asciiTheme="minorEastAsia" w:hAnsiTheme="minorEastAsia" w:cs="华文宋体"/>
          <w:color w:val="000000"/>
        </w:rPr>
        <w:t>式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份，甲乙双方各执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</w:t>
      </w:r>
      <w:r w:rsidRPr="009D09BE">
        <w:rPr>
          <w:rFonts w:asciiTheme="minorEastAsia" w:hAnsiTheme="minorEastAsia" w:cs="华文宋体"/>
          <w:color w:val="000000"/>
        </w:rPr>
        <w:t>份，自甲乙双方签字或盖章之日起生效。</w:t>
      </w:r>
    </w:p>
    <w:p w:rsidR="00482EC2" w:rsidRPr="009D09BE" w:rsidRDefault="00482EC2" w:rsidP="009D09BE">
      <w:pPr>
        <w:pStyle w:val="a3"/>
        <w:wordWrap w:val="0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签署时间：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年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 </w:t>
      </w:r>
      <w:r w:rsidRPr="009D09BE">
        <w:rPr>
          <w:rFonts w:asciiTheme="minorEastAsia" w:hAnsiTheme="minorEastAsia" w:cs="华文宋体"/>
          <w:color w:val="000000"/>
        </w:rPr>
        <w:t>月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 </w:t>
      </w:r>
      <w:r w:rsidRPr="009D09BE">
        <w:rPr>
          <w:rFonts w:asciiTheme="minorEastAsia" w:hAnsiTheme="minorEastAsia" w:cs="华文宋体"/>
          <w:color w:val="000000"/>
        </w:rPr>
        <w:t>日</w:t>
      </w:r>
      <w:r w:rsidRPr="009D09BE">
        <w:rPr>
          <w:rFonts w:asciiTheme="minorEastAsia" w:hAnsiTheme="minorEastAsia" w:cs="华文宋体" w:hint="eastAsia"/>
          <w:color w:val="000000"/>
        </w:rPr>
        <w:t>。</w:t>
      </w:r>
    </w:p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82EC2" w:rsidRPr="009D09BE" w:rsidTr="009D09BE"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b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b/>
                <w:color w:val="000000"/>
              </w:rPr>
              <w:t>甲方（盖章）：</w:t>
            </w:r>
          </w:p>
        </w:tc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9D09BE">
              <w:rPr>
                <w:rFonts w:asciiTheme="minorEastAsia" w:hAnsiTheme="minorEastAsia" w:cs="华文宋体"/>
                <w:b/>
                <w:color w:val="000000"/>
              </w:rPr>
              <w:t>乙方（盖章）：</w:t>
            </w:r>
          </w:p>
        </w:tc>
      </w:tr>
      <w:tr w:rsidR="00482EC2" w:rsidRPr="009D09BE" w:rsidTr="009D09BE"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联系人</w:t>
            </w:r>
            <w:r w:rsidRPr="009D09BE">
              <w:rPr>
                <w:rFonts w:asciiTheme="minorEastAsia" w:hAnsiTheme="minorEastAsia" w:cs="华文宋体" w:hint="eastAsia"/>
                <w:color w:val="000000"/>
              </w:rPr>
              <w:t>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  </w:t>
            </w:r>
          </w:p>
        </w:tc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联系人：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</w:t>
            </w:r>
          </w:p>
        </w:tc>
      </w:tr>
      <w:tr w:rsidR="00482EC2" w:rsidRPr="009D09BE" w:rsidTr="009D09BE"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联系方式：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联系方式：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</w:t>
            </w:r>
          </w:p>
        </w:tc>
      </w:tr>
      <w:tr w:rsidR="00482EC2" w:rsidRPr="009D09BE" w:rsidTr="009D09BE"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地址：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地址：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  </w:t>
            </w:r>
          </w:p>
        </w:tc>
      </w:tr>
    </w:tbl>
    <w:p w:rsidR="00482EC2" w:rsidRPr="009D09BE" w:rsidRDefault="00482EC2" w:rsidP="009D09BE">
      <w:pPr>
        <w:pStyle w:val="a3"/>
        <w:wordWrap w:val="0"/>
        <w:spacing w:before="0" w:line="360" w:lineRule="auto"/>
        <w:rPr>
          <w:rFonts w:asciiTheme="minorEastAsia" w:hAnsiTheme="minorEastAsia" w:cs="华文宋体"/>
          <w:color w:val="000000"/>
        </w:rPr>
      </w:pPr>
    </w:p>
    <w:sectPr w:rsidR="00482EC2" w:rsidRPr="009D09BE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482EC2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482EC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482EC2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482EC2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53160D"/>
    <w:rsid w:val="0055482C"/>
    <w:rsid w:val="005B167A"/>
    <w:rsid w:val="00607DBE"/>
    <w:rsid w:val="00641E18"/>
    <w:rsid w:val="006D754E"/>
    <w:rsid w:val="006F6C79"/>
    <w:rsid w:val="007B0661"/>
    <w:rsid w:val="007F29A4"/>
    <w:rsid w:val="007F7C41"/>
    <w:rsid w:val="00812337"/>
    <w:rsid w:val="00944C92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2019-03-10T13:33:00Z</dcterms:created>
  <dcterms:modified xsi:type="dcterms:W3CDTF">2019-03-10T13:33:00Z</dcterms:modified>
</cp:coreProperties>
</file>