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网络运行维护服务合同</w:t>
      </w:r>
    </w:p>
    <w:p>
      <w:pPr>
        <w:wordWrap w:val="0"/>
        <w:spacing w:after="312" w:afterLines="100" w:line="360" w:lineRule="auto"/>
        <w:jc w:val="right"/>
        <w:rPr>
          <w:rFonts w:ascii="宋体" w:hAnsi="宋体"/>
          <w:color w:val="000000"/>
          <w:sz w:val="24"/>
          <w:szCs w:val="24"/>
          <w:u w:val="single"/>
        </w:rPr>
      </w:pPr>
      <w:r>
        <w:rPr>
          <w:rFonts w:hint="eastAsia" w:ascii="宋体" w:hAnsi="宋体"/>
          <w:color w:val="000000"/>
          <w:sz w:val="24"/>
          <w:szCs w:val="24"/>
        </w:rPr>
        <w:t>合同编号：</w:t>
      </w:r>
      <w:r>
        <w:rPr>
          <w:rFonts w:hint="eastAsia" w:ascii="宋体" w:hAnsi="宋体"/>
          <w:color w:val="000000"/>
          <w:sz w:val="24"/>
          <w:szCs w:val="24"/>
          <w:u w:val="single"/>
        </w:rPr>
        <w:t xml:space="preserve"> </w:t>
      </w:r>
      <w:r>
        <w:rPr>
          <w:rFonts w:ascii="宋体" w:hAnsi="宋体"/>
          <w:color w:val="000000"/>
          <w:sz w:val="24"/>
          <w:szCs w:val="24"/>
          <w:u w:val="single"/>
        </w:rPr>
        <w:t xml:space="preserve">          </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委托方：（以下简称“甲方”）</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受托方：（以下简称“乙方”）</w:t>
      </w:r>
    </w:p>
    <w:p>
      <w:pPr>
        <w:wordWrap w:val="0"/>
        <w:spacing w:before="312" w:beforeLines="100" w:after="312" w:afterLines="100" w:line="360" w:lineRule="auto"/>
        <w:ind w:firstLine="480" w:firstLineChars="200"/>
        <w:rPr>
          <w:rFonts w:ascii="宋体" w:hAnsi="宋体"/>
          <w:color w:val="000000"/>
          <w:sz w:val="24"/>
          <w:szCs w:val="24"/>
        </w:rPr>
      </w:pPr>
      <w:r>
        <w:rPr>
          <w:rFonts w:hint="eastAsia" w:ascii="宋体" w:hAnsi="宋体"/>
          <w:color w:val="000000"/>
          <w:sz w:val="24"/>
          <w:szCs w:val="24"/>
        </w:rPr>
        <w:t>甲方委托乙方就相关网络运行提供维护服务，双方经过平等协商，在真实、充分地表达各自意愿的基础上，根据《中华人民共和国民法典》的规定，达成如下协议，并由双方共同遵守。</w:t>
      </w:r>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一、服务内容范围</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1</w:t>
      </w:r>
      <w:r>
        <w:rPr>
          <w:rFonts w:hint="eastAsia" w:ascii="宋体" w:hAnsi="宋体"/>
          <w:color w:val="000000"/>
          <w:sz w:val="24"/>
          <w:szCs w:val="24"/>
        </w:rPr>
        <w:t>、服务内容包括：</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网络的维护；</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广域网和网络核心设备（路由器、CA代理服务器等）的维护；</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为甲方相关人员提供培训服务；</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提供技术支持和技术顾问服务；</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提供甲方长期现场运行维护服务；</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提供现场服务；</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2</w:t>
      </w:r>
      <w:r>
        <w:rPr>
          <w:rFonts w:hint="eastAsia" w:ascii="宋体" w:hAnsi="宋体"/>
          <w:color w:val="000000"/>
          <w:sz w:val="24"/>
          <w:szCs w:val="24"/>
        </w:rPr>
        <w:t>、服务范围包括</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有效期为：</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年</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月</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日到</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年</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月</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日。全部服务期结束前</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个月内，双方友好协商签署下一个服务期协议。</w:t>
      </w:r>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二、双方职责</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3</w:t>
      </w:r>
      <w:r>
        <w:rPr>
          <w:rFonts w:hint="eastAsia" w:ascii="宋体" w:hAnsi="宋体"/>
          <w:color w:val="000000"/>
          <w:sz w:val="24"/>
          <w:szCs w:val="24"/>
        </w:rPr>
        <w:t>、甲方职责：</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负责提供服务内容实施过程中所需的相关资料；</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负责提供乙方在本服务实施过程中所必需的工作场所、设备等；</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负责配合乙方协调相关单位实施本合同约定的服务内容。</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4</w:t>
      </w:r>
      <w:r>
        <w:rPr>
          <w:rFonts w:hint="eastAsia" w:ascii="宋体" w:hAnsi="宋体"/>
          <w:color w:val="000000"/>
          <w:sz w:val="24"/>
          <w:szCs w:val="24"/>
        </w:rPr>
        <w:t>、乙方职责：</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负责按照相关技术标准规范、保质、按时的完成各项服务内容。</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协调广域网的线路服务商保证主干网畅通，保证相关网络稳定。</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根据甲方需要，负责对甲方人员进行培训；</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指定项目负责人，并成立相应的技术支持队伍负责网络技术及运行维护服务。</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向甲方提供相关技术文档和操作手册。</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保证在实施服务时，不得侵害其他第三方的软件著作权、财产权和名誉权。否则乙方应承担由此产生的一切后果，甲方不承担任何责任。</w:t>
      </w:r>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三、服务实施验收</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5</w:t>
      </w:r>
      <w:r>
        <w:rPr>
          <w:rFonts w:hint="eastAsia" w:ascii="宋体" w:hAnsi="宋体"/>
          <w:color w:val="000000"/>
          <w:sz w:val="24"/>
          <w:szCs w:val="24"/>
        </w:rPr>
        <w:t>、乙方技术支持队伍应根据甲方的需求在内进行相关网络运行维护。</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6</w:t>
      </w:r>
      <w:r>
        <w:rPr>
          <w:rFonts w:hint="eastAsia" w:ascii="宋体" w:hAnsi="宋体"/>
          <w:color w:val="000000"/>
          <w:sz w:val="24"/>
          <w:szCs w:val="24"/>
        </w:rPr>
        <w:t>、具体服务实施前，乙方应提交详细的工作计划、工作进度和经费预算报甲方确认。</w:t>
      </w:r>
    </w:p>
    <w:p>
      <w:pPr>
        <w:wordWrap w:val="0"/>
        <w:spacing w:line="360" w:lineRule="auto"/>
        <w:ind w:firstLine="480" w:firstLineChars="200"/>
        <w:rPr>
          <w:rFonts w:ascii="宋体" w:hAnsi="宋体"/>
          <w:color w:val="000000"/>
          <w:sz w:val="24"/>
          <w:szCs w:val="24"/>
        </w:rPr>
      </w:pPr>
      <w:r>
        <w:rPr>
          <w:rFonts w:ascii="宋体" w:hAnsi="宋体"/>
          <w:color w:val="000000"/>
          <w:sz w:val="24"/>
          <w:szCs w:val="24"/>
        </w:rPr>
        <w:t>7</w:t>
      </w:r>
      <w:r>
        <w:rPr>
          <w:rFonts w:hint="eastAsia" w:ascii="宋体" w:hAnsi="宋体"/>
          <w:color w:val="000000"/>
          <w:sz w:val="24"/>
          <w:szCs w:val="24"/>
        </w:rPr>
        <w:t>、具体服务实施后，乙方提交验收申请报告，由甲方代表签字验收，并由审核确认。</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8、验收文件作为服务费结算的依据。</w:t>
      </w:r>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四、培训</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9、乙方根据甲方需求进行人员培训。</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10、培训人数、课程安排等由双方根据具体需求协商制定。</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11、培训的场地及设备由甲方提供。</w:t>
      </w:r>
    </w:p>
    <w:p>
      <w:pPr>
        <w:wordWrap w:val="0"/>
        <w:spacing w:line="360" w:lineRule="auto"/>
        <w:ind w:firstLine="480" w:firstLineChars="200"/>
        <w:rPr>
          <w:rFonts w:ascii="宋体" w:hAnsi="宋体"/>
          <w:b/>
          <w:color w:val="000000"/>
          <w:sz w:val="24"/>
          <w:szCs w:val="24"/>
        </w:rPr>
      </w:pPr>
      <w:bookmarkStart w:id="0" w:name="_Toc392486565"/>
      <w:bookmarkStart w:id="1" w:name="_Toc425150648"/>
      <w:bookmarkStart w:id="2" w:name="_Toc422814578"/>
      <w:r>
        <w:rPr>
          <w:rFonts w:hint="eastAsia" w:ascii="宋体" w:hAnsi="宋体"/>
          <w:b/>
          <w:color w:val="000000"/>
          <w:sz w:val="24"/>
          <w:szCs w:val="24"/>
        </w:rPr>
        <w:t>五、服务费用</w:t>
      </w:r>
      <w:bookmarkEnd w:id="0"/>
      <w:bookmarkEnd w:id="1"/>
      <w:bookmarkEnd w:id="2"/>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12、服务费用构成：</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2702"/>
        <w:gridCol w:w="1551"/>
        <w:gridCol w:w="1587"/>
        <w:gridCol w:w="1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序号</w:t>
            </w:r>
          </w:p>
        </w:tc>
        <w:tc>
          <w:tcPr>
            <w:tcW w:w="2702"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工作内容</w:t>
            </w:r>
          </w:p>
        </w:tc>
        <w:tc>
          <w:tcPr>
            <w:tcW w:w="1551"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工作量</w:t>
            </w:r>
          </w:p>
        </w:tc>
        <w:tc>
          <w:tcPr>
            <w:tcW w:w="1587"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费用</w:t>
            </w:r>
          </w:p>
        </w:tc>
        <w:tc>
          <w:tcPr>
            <w:tcW w:w="1520"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936"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2702"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51"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87"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20" w:type="dxa"/>
            <w:vMerge w:val="restart"/>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工作量以实际发生的服务为准；</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2、服务费用根据行业记录为准。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2" w:hRule="atLeast"/>
        </w:trPr>
        <w:tc>
          <w:tcPr>
            <w:tcW w:w="936"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2702"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51"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87" w:type="dxa"/>
            <w:tcBorders>
              <w:top w:val="single" w:color="auto" w:sz="4" w:space="0"/>
              <w:left w:val="single" w:color="auto" w:sz="4" w:space="0"/>
              <w:bottom w:val="single" w:color="auto" w:sz="4" w:space="0"/>
              <w:right w:val="single" w:color="auto" w:sz="4" w:space="0"/>
            </w:tcBorders>
            <w:shd w:val="clear" w:color="auto" w:fill="auto"/>
          </w:tcPr>
          <w:p>
            <w:pPr>
              <w:wordWrap w:val="0"/>
              <w:spacing w:line="360" w:lineRule="auto"/>
              <w:ind w:firstLine="480" w:firstLineChars="200"/>
              <w:rPr>
                <w:rFonts w:ascii="宋体" w:hAnsi="宋体"/>
                <w:color w:val="000000"/>
                <w:sz w:val="24"/>
                <w:szCs w:val="24"/>
              </w:rPr>
            </w:pPr>
          </w:p>
        </w:tc>
        <w:tc>
          <w:tcPr>
            <w:tcW w:w="152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bl>
    <w:p>
      <w:pPr>
        <w:wordWrap w:val="0"/>
        <w:spacing w:line="360" w:lineRule="auto"/>
        <w:ind w:firstLine="480" w:firstLineChars="200"/>
        <w:rPr>
          <w:rFonts w:ascii="宋体" w:hAnsi="宋体"/>
          <w:color w:val="000000"/>
          <w:sz w:val="24"/>
          <w:szCs w:val="24"/>
        </w:rPr>
      </w:pP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13、本协议所涉及的费用每结算一次。</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14、结算时间到期前</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个工作日，乙方向甲方提交的实施服务的明细表（附表1）和汇总表（附表2），经甲方审核后确认相关费用，报甲方审核。</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15、服务过程中，如遇服务内容增加或变更导致的费用增加或变更，由双方指定代表签字确认后，与下一结算期间产生的费用合并计算。</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16、在甲方确认服务内容和费用概算后的</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个工作日内，由甲方一次性支付给乙方。</w:t>
      </w:r>
      <w:bookmarkStart w:id="3" w:name="_Toc425150650"/>
      <w:bookmarkStart w:id="4" w:name="_Toc392486567"/>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六、</w:t>
      </w:r>
      <w:bookmarkStart w:id="11" w:name="_GoBack"/>
      <w:r>
        <w:rPr>
          <w:rFonts w:hint="eastAsia" w:ascii="宋体" w:hAnsi="宋体"/>
          <w:b/>
          <w:color w:val="000000"/>
          <w:sz w:val="24"/>
          <w:szCs w:val="24"/>
        </w:rPr>
        <w:t>违约责任</w:t>
      </w:r>
      <w:bookmarkEnd w:id="11"/>
      <w:bookmarkEnd w:id="3"/>
      <w:bookmarkEnd w:id="4"/>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17、除不可抗力因素外，由于乙方自身原因造成工期延误，每延期一天，乙方应承担该项服务费用</w:t>
      </w:r>
      <w:r>
        <w:rPr>
          <w:rFonts w:ascii="宋体" w:hAnsi="宋体"/>
          <w:color w:val="000000"/>
          <w:sz w:val="24"/>
          <w:szCs w:val="24"/>
          <w:u w:val="single"/>
        </w:rPr>
        <w:t xml:space="preserve">     </w:t>
      </w:r>
      <w:r>
        <w:rPr>
          <w:rFonts w:hint="eastAsia" w:ascii="宋体" w:hAnsi="宋体"/>
          <w:color w:val="000000"/>
          <w:sz w:val="24"/>
          <w:szCs w:val="24"/>
        </w:rPr>
        <w:t>日的违约金，并赔偿甲方由此造成的损失，违约金可以从服务费用扣除。</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18、因乙方未能按时完成合同（不可抗力除外），在甲方发出催办通知书之日起</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日内,乙方仍未能完成的，甲方有权解除合同，甲方由此产生的一切损失由乙方承担。</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19、甲方无正当理由不能按约付款，延期超过</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个工作日后，乙方有权要求甲方支付服务费用/日的滞纳金，因付款拖期而造成的工期延误乙方不承担责任。</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20、其他违约行为，按照《中华人民共和国民法典》、《中华人民共和国著作权法》、《计算机软件著作权保护条例》和相关法律法规的有关规定执行。</w:t>
      </w:r>
    </w:p>
    <w:p>
      <w:pPr>
        <w:wordWrap w:val="0"/>
        <w:spacing w:line="360" w:lineRule="auto"/>
        <w:ind w:firstLine="480" w:firstLineChars="200"/>
        <w:rPr>
          <w:rFonts w:ascii="宋体" w:hAnsi="宋体"/>
          <w:b/>
          <w:color w:val="000000"/>
          <w:sz w:val="24"/>
          <w:szCs w:val="24"/>
        </w:rPr>
      </w:pPr>
      <w:bookmarkStart w:id="5" w:name="_Toc425150651"/>
      <w:bookmarkStart w:id="6" w:name="_Toc422814580"/>
      <w:bookmarkStart w:id="7" w:name="_Toc392486568"/>
      <w:r>
        <w:rPr>
          <w:rFonts w:hint="eastAsia" w:ascii="宋体" w:hAnsi="宋体"/>
          <w:b/>
          <w:color w:val="000000"/>
          <w:sz w:val="24"/>
          <w:szCs w:val="24"/>
        </w:rPr>
        <w:t>七、不可抗力</w:t>
      </w:r>
      <w:bookmarkEnd w:id="5"/>
      <w:bookmarkEnd w:id="6"/>
      <w:bookmarkEnd w:id="7"/>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21协议的任何一方因战争、火灾、水灾、台风、地震等不可抗力的因素而无法履行其义务时，本协议履行期限将延长与上述事故持续时间相等之日数。</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因不可抗力导致无法履行义务的一方应在不可抗力发生之日起</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个工作日内书面通知对方。</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因不可抗力导致无法履行义务的一方应于该不可抗力事件终止或排除后</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个工作日内书面通知对方。</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如不可抗力影响协议履行超过天，双方应就协议的进一步履行与否进行磋商并达成一致。</w:t>
      </w:r>
    </w:p>
    <w:p>
      <w:pPr>
        <w:wordWrap w:val="0"/>
        <w:spacing w:line="360" w:lineRule="auto"/>
        <w:ind w:firstLine="480" w:firstLineChars="200"/>
        <w:rPr>
          <w:rFonts w:ascii="宋体" w:hAnsi="宋体"/>
          <w:b/>
          <w:color w:val="000000"/>
          <w:sz w:val="24"/>
          <w:szCs w:val="24"/>
        </w:rPr>
      </w:pPr>
      <w:r>
        <w:rPr>
          <w:rFonts w:hint="eastAsia" w:ascii="宋体" w:hAnsi="宋体"/>
          <w:b/>
          <w:color w:val="000000"/>
          <w:sz w:val="24"/>
          <w:szCs w:val="24"/>
        </w:rPr>
        <w:t>八、其他约定</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本服务合同未尽事宜的处理，由双方协商，并以补充协议或会议记录经双方签字确认同意后，方能生效。双方在更换全权代表时，须</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在</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个工作日内以正式书面形式通知对方。</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在执行服务合同过程中发生任何纠纷均需通过双方协商解决。协商不成的，按下述第</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种方式解决（只能选择一种）：</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（1）提交</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仲裁委员会仲裁；</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（2）依法向</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人民法院提起诉讼。</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27、在仲裁或诉讼期间双方应继续履行服务中不属于纠纷范围的义务。</w:t>
      </w:r>
    </w:p>
    <w:p>
      <w:pPr>
        <w:wordWrap w:val="0"/>
        <w:spacing w:line="360" w:lineRule="auto"/>
        <w:ind w:firstLine="480" w:firstLineChars="200"/>
        <w:rPr>
          <w:rFonts w:ascii="宋体" w:hAnsi="宋体"/>
          <w:b/>
          <w:color w:val="000000"/>
          <w:sz w:val="24"/>
          <w:szCs w:val="24"/>
        </w:rPr>
      </w:pPr>
      <w:bookmarkStart w:id="8" w:name="_Toc422814582"/>
      <w:bookmarkStart w:id="9" w:name="_Toc392486570"/>
      <w:bookmarkStart w:id="10" w:name="_Toc425150653"/>
      <w:r>
        <w:rPr>
          <w:rFonts w:hint="eastAsia" w:ascii="宋体" w:hAnsi="宋体"/>
          <w:b/>
          <w:color w:val="000000"/>
          <w:sz w:val="24"/>
          <w:szCs w:val="24"/>
        </w:rPr>
        <w:t>九、协议生效</w:t>
      </w:r>
      <w:bookmarkEnd w:id="8"/>
      <w:bookmarkEnd w:id="9"/>
      <w:bookmarkEnd w:id="10"/>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28、本合同由双方代表于</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年</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月</w:t>
      </w:r>
      <w:r>
        <w:rPr>
          <w:rFonts w:hint="eastAsia" w:ascii="宋体" w:hAnsi="宋体"/>
          <w:color w:val="000000"/>
          <w:sz w:val="24"/>
          <w:szCs w:val="24"/>
          <w:u w:val="single"/>
        </w:rPr>
        <w:t xml:space="preserve"> </w:t>
      </w:r>
      <w:r>
        <w:rPr>
          <w:rFonts w:ascii="宋体" w:hAnsi="宋体"/>
          <w:color w:val="000000"/>
          <w:sz w:val="24"/>
          <w:szCs w:val="24"/>
          <w:u w:val="single"/>
        </w:rPr>
        <w:t xml:space="preserve">     </w:t>
      </w:r>
      <w:r>
        <w:rPr>
          <w:rFonts w:hint="eastAsia" w:ascii="宋体" w:hAnsi="宋体"/>
          <w:color w:val="000000"/>
          <w:sz w:val="24"/>
          <w:szCs w:val="24"/>
        </w:rPr>
        <w:t>日签字生效。</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29、本合同用中文制成一式四份，甲方、乙方各执两份，具有同等法律效力。</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本合同的所有附件及工作过程中形成的文件、会议纪要等均为本合同不可分割的部分，并与本合同具有同等法律效力。如合同附件中的条款与协议条款的相关内容相冲突时，以本协议条款为准。</w:t>
      </w:r>
    </w:p>
    <w:p>
      <w:pPr>
        <w:wordWrap w:val="0"/>
        <w:spacing w:after="312" w:afterLines="100" w:line="360" w:lineRule="auto"/>
        <w:ind w:firstLine="480" w:firstLineChars="200"/>
        <w:rPr>
          <w:rFonts w:ascii="宋体" w:hAnsi="宋体"/>
          <w:color w:val="000000"/>
          <w:sz w:val="24"/>
          <w:szCs w:val="24"/>
        </w:rPr>
      </w:pPr>
      <w:r>
        <w:rPr>
          <w:rFonts w:hint="eastAsia" w:ascii="宋体" w:hAnsi="宋体"/>
          <w:color w:val="000000"/>
          <w:sz w:val="24"/>
          <w:szCs w:val="24"/>
        </w:rPr>
        <w:t>31、所有关于本合同条款的修改、补充、变更，需经双方协商并制作书面补充协议，双方签字盖章后方能生效，补充协议作为本合同不可分割的一部分，具有与本合同相同的法律效力。</w:t>
      </w:r>
    </w:p>
    <w:tbl>
      <w:tblPr>
        <w:tblStyle w:val="7"/>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甲方：</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乙方：</w:t>
            </w:r>
          </w:p>
        </w:tc>
      </w:tr>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单位地址：</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单位地址：</w:t>
            </w:r>
          </w:p>
        </w:tc>
      </w:tr>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法定代表人：</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法定代表人：</w:t>
            </w:r>
          </w:p>
        </w:tc>
      </w:tr>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委托代理人：</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委托代理人：</w:t>
            </w:r>
          </w:p>
        </w:tc>
      </w:tr>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电话：</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电话：</w:t>
            </w:r>
          </w:p>
        </w:tc>
      </w:tr>
      <w:tr>
        <w:tblPrEx>
          <w:tblLayout w:type="fixed"/>
          <w:tblCellMar>
            <w:top w:w="0" w:type="dxa"/>
            <w:left w:w="108" w:type="dxa"/>
            <w:bottom w:w="0" w:type="dxa"/>
            <w:right w:w="108" w:type="dxa"/>
          </w:tblCellMar>
        </w:tblPrEx>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开户银行：</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开户银行：</w:t>
            </w:r>
          </w:p>
        </w:tc>
      </w:tr>
      <w:tr>
        <w:tblPrEx>
          <w:tblLayout w:type="fixed"/>
          <w:tblCellMar>
            <w:top w:w="0" w:type="dxa"/>
            <w:left w:w="108" w:type="dxa"/>
            <w:bottom w:w="0" w:type="dxa"/>
            <w:right w:w="108" w:type="dxa"/>
          </w:tblCellMar>
        </w:tblPrEx>
        <w:trPr>
          <w:trHeight w:val="419" w:hRule="atLeast"/>
        </w:trPr>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账号：</w:t>
            </w:r>
          </w:p>
        </w:tc>
        <w:tc>
          <w:tcPr>
            <w:tcW w:w="4153" w:type="dxa"/>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账号：</w:t>
            </w:r>
          </w:p>
        </w:tc>
      </w:tr>
    </w:tbl>
    <w:p>
      <w:pPr>
        <w:wordWrap w:val="0"/>
        <w:spacing w:before="468" w:beforeLines="150" w:line="360" w:lineRule="auto"/>
        <w:ind w:firstLine="480" w:firstLineChars="200"/>
        <w:rPr>
          <w:rFonts w:ascii="宋体" w:hAnsi="宋体"/>
          <w:b/>
          <w:color w:val="000000"/>
          <w:sz w:val="24"/>
          <w:szCs w:val="24"/>
        </w:rPr>
      </w:pPr>
    </w:p>
    <w:p>
      <w:pPr>
        <w:wordWrap w:val="0"/>
        <w:spacing w:before="468" w:beforeLines="150" w:line="360" w:lineRule="auto"/>
        <w:ind w:firstLine="480" w:firstLineChars="200"/>
        <w:rPr>
          <w:rFonts w:ascii="宋体" w:hAnsi="宋体"/>
          <w:b/>
          <w:color w:val="000000"/>
          <w:sz w:val="24"/>
          <w:szCs w:val="24"/>
        </w:rPr>
      </w:pPr>
      <w:r>
        <w:rPr>
          <w:rFonts w:ascii="宋体" w:hAnsi="宋体"/>
          <w:b/>
          <w:color w:val="000000"/>
          <w:sz w:val="24"/>
          <w:szCs w:val="24"/>
        </w:rPr>
        <w:br w:type="page"/>
      </w:r>
      <w:r>
        <w:rPr>
          <w:rFonts w:hint="eastAsia" w:ascii="宋体" w:hAnsi="宋体"/>
          <w:b/>
          <w:color w:val="000000"/>
          <w:sz w:val="24"/>
          <w:szCs w:val="24"/>
        </w:rPr>
        <w:t>附表</w:t>
      </w:r>
      <w:r>
        <w:rPr>
          <w:rFonts w:ascii="宋体" w:hAnsi="宋体"/>
          <w:b/>
          <w:color w:val="000000"/>
          <w:sz w:val="24"/>
          <w:szCs w:val="24"/>
        </w:rPr>
        <w:t>1</w:t>
      </w:r>
      <w:r>
        <w:rPr>
          <w:rFonts w:hint="eastAsia" w:ascii="宋体" w:hAnsi="宋体"/>
          <w:b/>
          <w:color w:val="000000"/>
          <w:sz w:val="24"/>
          <w:szCs w:val="24"/>
        </w:rPr>
        <w:t>：</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网络运行维护服务日常维护明细表</w:t>
      </w:r>
    </w:p>
    <w:tbl>
      <w:tblPr>
        <w:tblStyle w:val="7"/>
        <w:tblW w:w="8286" w:type="dxa"/>
        <w:tblInd w:w="0" w:type="dxa"/>
        <w:tblLayout w:type="fixed"/>
        <w:tblCellMar>
          <w:top w:w="0" w:type="dxa"/>
          <w:left w:w="108" w:type="dxa"/>
          <w:bottom w:w="0" w:type="dxa"/>
          <w:right w:w="108" w:type="dxa"/>
        </w:tblCellMar>
      </w:tblPr>
      <w:tblGrid>
        <w:gridCol w:w="1176"/>
        <w:gridCol w:w="1176"/>
        <w:gridCol w:w="1176"/>
        <w:gridCol w:w="3102"/>
        <w:gridCol w:w="1656"/>
      </w:tblGrid>
      <w:tr>
        <w:tblPrEx>
          <w:tblLayout w:type="fixed"/>
          <w:tblCellMar>
            <w:top w:w="0" w:type="dxa"/>
            <w:left w:w="108" w:type="dxa"/>
            <w:bottom w:w="0" w:type="dxa"/>
            <w:right w:w="108" w:type="dxa"/>
          </w:tblCellMar>
        </w:tblPrEx>
        <w:trPr>
          <w:trHeight w:val="795" w:hRule="atLeast"/>
        </w:trPr>
        <w:tc>
          <w:tcPr>
            <w:tcW w:w="1176" w:type="dxa"/>
            <w:tcBorders>
              <w:top w:val="single" w:color="auto" w:sz="8" w:space="0"/>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序号</w:t>
            </w:r>
          </w:p>
        </w:tc>
        <w:tc>
          <w:tcPr>
            <w:tcW w:w="1176" w:type="dxa"/>
            <w:tcBorders>
              <w:top w:val="single" w:color="auto" w:sz="8" w:space="0"/>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时间</w:t>
            </w:r>
          </w:p>
        </w:tc>
        <w:tc>
          <w:tcPr>
            <w:tcW w:w="1176" w:type="dxa"/>
            <w:tcBorders>
              <w:top w:val="single" w:color="auto" w:sz="8" w:space="0"/>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地点</w:t>
            </w:r>
          </w:p>
        </w:tc>
        <w:tc>
          <w:tcPr>
            <w:tcW w:w="3102" w:type="dxa"/>
            <w:tcBorders>
              <w:top w:val="single" w:color="auto" w:sz="8" w:space="0"/>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维护内容</w:t>
            </w:r>
          </w:p>
        </w:tc>
        <w:tc>
          <w:tcPr>
            <w:tcW w:w="1656" w:type="dxa"/>
            <w:tcBorders>
              <w:top w:val="single" w:color="auto" w:sz="8" w:space="0"/>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维护人员</w:t>
            </w: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3</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4</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5</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6</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7</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8</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9</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r>
        <w:tblPrEx>
          <w:tblLayout w:type="fixed"/>
          <w:tblCellMar>
            <w:top w:w="0" w:type="dxa"/>
            <w:left w:w="108" w:type="dxa"/>
            <w:bottom w:w="0" w:type="dxa"/>
            <w:right w:w="108" w:type="dxa"/>
          </w:tblCellMar>
        </w:tblPrEx>
        <w:trPr>
          <w:trHeight w:val="795" w:hRule="atLeast"/>
        </w:trPr>
        <w:tc>
          <w:tcPr>
            <w:tcW w:w="1176" w:type="dxa"/>
            <w:tcBorders>
              <w:top w:val="nil"/>
              <w:left w:val="single" w:color="auto" w:sz="8" w:space="0"/>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10</w:t>
            </w: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1176" w:type="dxa"/>
            <w:tcBorders>
              <w:top w:val="nil"/>
              <w:left w:val="nil"/>
              <w:bottom w:val="single" w:color="auto" w:sz="4" w:space="0"/>
              <w:right w:val="single" w:color="auto" w:sz="4"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c>
          <w:tcPr>
            <w:tcW w:w="3102" w:type="dxa"/>
            <w:tcBorders>
              <w:top w:val="nil"/>
              <w:left w:val="nil"/>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656" w:type="dxa"/>
            <w:tcBorders>
              <w:top w:val="nil"/>
              <w:left w:val="nil"/>
              <w:bottom w:val="single" w:color="auto" w:sz="4" w:space="0"/>
              <w:right w:val="single" w:color="auto" w:sz="8" w:space="0"/>
            </w:tcBorders>
            <w:shd w:val="clear" w:color="auto" w:fill="auto"/>
            <w:noWrap/>
            <w:vAlign w:val="center"/>
          </w:tcPr>
          <w:p>
            <w:pPr>
              <w:wordWrap w:val="0"/>
              <w:spacing w:line="360" w:lineRule="auto"/>
              <w:ind w:firstLine="480" w:firstLineChars="200"/>
              <w:rPr>
                <w:rFonts w:ascii="宋体" w:hAnsi="宋体"/>
                <w:color w:val="000000"/>
                <w:sz w:val="24"/>
                <w:szCs w:val="24"/>
              </w:rPr>
            </w:pPr>
          </w:p>
        </w:tc>
      </w:tr>
    </w:tbl>
    <w:p>
      <w:pPr>
        <w:wordWrap w:val="0"/>
        <w:spacing w:before="312" w:beforeLines="100" w:line="360" w:lineRule="auto"/>
        <w:ind w:firstLine="480" w:firstLineChars="200"/>
        <w:rPr>
          <w:rFonts w:ascii="宋体" w:hAnsi="宋体"/>
          <w:b/>
          <w:color w:val="000000"/>
          <w:sz w:val="24"/>
          <w:szCs w:val="24"/>
        </w:rPr>
      </w:pPr>
      <w:r>
        <w:rPr>
          <w:rFonts w:hint="eastAsia" w:ascii="宋体" w:hAnsi="宋体"/>
          <w:b/>
          <w:color w:val="000000"/>
          <w:sz w:val="24"/>
          <w:szCs w:val="24"/>
        </w:rPr>
        <w:t>附表</w:t>
      </w:r>
      <w:r>
        <w:rPr>
          <w:rFonts w:ascii="宋体" w:hAnsi="宋体"/>
          <w:b/>
          <w:color w:val="000000"/>
          <w:sz w:val="24"/>
          <w:szCs w:val="24"/>
        </w:rPr>
        <w:t>2</w:t>
      </w:r>
      <w:r>
        <w:rPr>
          <w:rFonts w:hint="eastAsia" w:ascii="宋体" w:hAnsi="宋体"/>
          <w:b/>
          <w:color w:val="000000"/>
          <w:sz w:val="24"/>
          <w:szCs w:val="24"/>
        </w:rPr>
        <w:t>：</w:t>
      </w:r>
    </w:p>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网络运行维护服务汇总表</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4020"/>
        <w:gridCol w:w="1293"/>
        <w:gridCol w:w="2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序号</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工作内容</w:t>
            </w: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维护次数</w:t>
            </w: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1</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2</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3</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4</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5</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6</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936"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r>
              <w:rPr>
                <w:rFonts w:hint="eastAsia" w:ascii="宋体" w:hAnsi="宋体"/>
                <w:color w:val="000000"/>
                <w:sz w:val="24"/>
                <w:szCs w:val="24"/>
              </w:rPr>
              <w:t>7</w:t>
            </w:r>
          </w:p>
        </w:tc>
        <w:tc>
          <w:tcPr>
            <w:tcW w:w="4020"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1293"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c>
          <w:tcPr>
            <w:tcW w:w="2047" w:type="dxa"/>
            <w:tcBorders>
              <w:top w:val="single" w:color="auto" w:sz="4" w:space="0"/>
              <w:left w:val="single" w:color="auto" w:sz="4" w:space="0"/>
              <w:bottom w:val="single" w:color="auto" w:sz="4" w:space="0"/>
              <w:right w:val="single" w:color="auto" w:sz="4" w:space="0"/>
            </w:tcBorders>
            <w:shd w:val="clear" w:color="auto" w:fill="auto"/>
            <w:vAlign w:val="center"/>
          </w:tcPr>
          <w:p>
            <w:pPr>
              <w:wordWrap w:val="0"/>
              <w:spacing w:line="360" w:lineRule="auto"/>
              <w:ind w:firstLine="480" w:firstLineChars="200"/>
              <w:rPr>
                <w:rFonts w:ascii="宋体" w:hAnsi="宋体"/>
                <w:color w:val="000000"/>
                <w:sz w:val="24"/>
                <w:szCs w:val="24"/>
              </w:rPr>
            </w:pPr>
          </w:p>
        </w:tc>
      </w:tr>
    </w:tbl>
    <w:p>
      <w:pPr>
        <w:wordWrap w:val="0"/>
        <w:spacing w:line="360" w:lineRule="auto"/>
        <w:rPr>
          <w:rFonts w:ascii="宋体" w:hAnsi="宋体"/>
          <w:color w:val="000000"/>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3C05DA"/>
    <w:rsid w:val="00714E68"/>
    <w:rsid w:val="00AC3DF6"/>
    <w:rsid w:val="00CB012C"/>
    <w:rsid w:val="00E8418F"/>
    <w:rsid w:val="7AEEAFA2"/>
    <w:rsid w:val="AB91747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2"/>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标题 2 字符"/>
    <w:basedOn w:val="9"/>
    <w:link w:val="2"/>
    <w:uiPriority w:val="9"/>
    <w:rPr>
      <w:rFonts w:asciiTheme="majorHAnsi" w:hAnsiTheme="majorHAnsi" w:eastAsiaTheme="majorEastAsia" w:cstheme="majorBidi"/>
      <w:b/>
      <w:bCs/>
      <w:sz w:val="32"/>
      <w:szCs w:val="32"/>
    </w:rPr>
  </w:style>
  <w:style w:type="character" w:customStyle="1" w:styleId="11">
    <w:name w:val="标题 3 字符"/>
    <w:basedOn w:val="9"/>
    <w:link w:val="3"/>
    <w:uiPriority w:val="9"/>
    <w:rPr>
      <w:b/>
      <w:bCs/>
      <w:sz w:val="32"/>
      <w:szCs w:val="32"/>
    </w:rPr>
  </w:style>
  <w:style w:type="character" w:customStyle="1" w:styleId="12">
    <w:name w:val="页脚 字符"/>
    <w:basedOn w:val="9"/>
    <w:link w:val="5"/>
    <w:uiPriority w:val="99"/>
    <w:rPr>
      <w:rFonts w:ascii="Times New Roman" w:hAnsi="Times New Roman" w:eastAsia="宋体" w:cs="Times New Roman"/>
      <w:sz w:val="18"/>
      <w:szCs w:val="18"/>
    </w:rPr>
  </w:style>
  <w:style w:type="character" w:customStyle="1" w:styleId="13">
    <w:name w:val="标题 4 字符"/>
    <w:basedOn w:val="9"/>
    <w:link w:val="4"/>
    <w:uiPriority w:val="9"/>
    <w:rPr>
      <w:rFonts w:ascii="Times New Roman" w:hAnsi="Times New Roman" w:cs="Times New Roman"/>
      <w:b/>
      <w:bCs/>
      <w:kern w:val="0"/>
      <w:sz w:val="24"/>
      <w:szCs w:val="24"/>
    </w:rPr>
  </w:style>
  <w:style w:type="character" w:customStyle="1" w:styleId="14">
    <w:name w:val="页眉 字符"/>
    <w:basedOn w:val="9"/>
    <w:link w:val="6"/>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358</Words>
  <Characters>2046</Characters>
  <Lines>17</Lines>
  <Paragraphs>4</Paragraphs>
  <TotalTime>0</TotalTime>
  <ScaleCrop>false</ScaleCrop>
  <LinksUpToDate>false</LinksUpToDate>
  <CharactersWithSpaces>2400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2019-03-23T14:49:00Z</dcterms:created>
  <dc:creator>雯 张</dc:creator>
  <cp:lastModifiedBy>雯 张</cp:lastModifiedBy>
  <dcterms:modified xsi:type="dcterms:W3CDTF">2020-05-26T11:33:27Z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