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报刊亭加工安装</w:t>
      </w:r>
      <w:bookmarkStart w:id="2" w:name="_GoBack"/>
      <w:bookmarkEnd w:id="2"/>
      <w:r>
        <w:rPr>
          <w:rFonts w:hint="eastAsia"/>
        </w:rPr>
        <w:t>合同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甲方（定作人）：</w:t>
      </w:r>
      <w:bookmarkStart w:id="0" w:name="_Hlk510962432"/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bookmarkEnd w:id="0"/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Hlk510962461"/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法定代表人：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住所：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统一社会信用代码：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bookmarkEnd w:id="1"/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乙方（承揽人）：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法定代表人：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住所：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统一社会信用代码：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根据《中华人民共和国民法典》以及我国现行的有关法律、法规，按省局要求，双方议定乙方承揽甲方报刊亭的加工与安装，此项承揽合同双方本着平等、公平、互惠的原则，订立如下合同条款：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第一条  标的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乙方承揽甲方所需报刊亭的加工与安装合同标的额为：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万元，大写：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第二条  制作报刊亭的数量、规格、价格（价款单位：每个／万元人民币）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注：整个承揽加工合同按每个报刊亭的单价为结算价，该结算价格含：包工、包料、包装运输、安装费及其他相关的税费。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第三条  加工、制作与安装、要求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报刊亭安装后稳定、可靠，空间利用充分，使用面积不小于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平方米。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2．使用材料：所有外表面使用大于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mm厚不锈钢板，结构采用不锈钢柱、不锈钢方钢骨架，透明部分不少于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％，使用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mm弧型热弯加强度有机玻璃，顶部硬塑料玻璃钢压模一次成型，内设图书报刊架。附件包括：推拉窗、电源接线板、电表一块，蓝色阳光板封顶，并有通风口一处。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第四条  验收标准和方法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乙方将报刊亭样品（按照甲方要求的规格、材质）制作成品后，交甲方进行初验，初验合格后方可生产。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甲方验收采用样品验收与成品交付验收相对比，也可采取随机抽验。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第五条  交货时间和地点及包装运输要求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交货时间：乙方必须保证在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日前全部交货。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交货地点：乙方负责送到甲方指定的安装位置，并安装完毕。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包装运输：乙方在交货时，应对成品进行包装，并保证信报箱在运输过程中不被损坏，如有损坏或变型、划漆等由乙方负责保修。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第六条  报刊亭安装及验收与售后服务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乙方对制作的报刊亭进行安装。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经乙方安装的报刊亭，必须经甲方验收，遇有验收不合格的，乙方应在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日内予以整改，不予整改、或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次整改不合格的甲方按该报刊亭价值扣除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％作为另行维修费用，并不返还乙方（按双方预定的标准和技术要求验收）。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乙方承诺为甲方制作的报刊亭因质量出现问题，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年内免费进行保修，超过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年或属甲方原因损坏进行维修的，需付工本费。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乙方承诺对甲方使用的报刊亭进行终身维护。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第七条  结算方式、期限及安装费用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甲、乙双方签订的合同生效后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日内，甲方应向乙方指定的账户拨付合同标的额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％的预付款。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乙方交货后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日内，甲方再向乙方账户拨付合同标的额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％的价款，累积达到合同标的额的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乙方按期安装完毕，并经甲方验收合格后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日内，甲方再向乙方指定的账户拨付合同标的额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％的价款，累积达到合同标的额的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剩余的合同标的额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％（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元，大写：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）价款，作为乙方向甲方预留的质量保证金，一年后经甲方正常使用确无质量问题，甲方主动将乙方剩余的质量保证金，一次性拨付乙方。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第八条  甲方违约责任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甲方在乙方为其制作报刊亭期间随意改变数量或到货无故拒收，甲方支付乙方合同的标的额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‰的违约金；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甲方未按合同规定时限向乙方拨付货款，每逾期一天，除补交货款外，应向乙方支付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第九条  乙方违约责任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乙方未按甲方的质量要求，隐瞒原材料的缺陷、使用不符合合同规定的原材料、偷工减料、以次充好等，甲方除按质论价外，甲方从应拨付乙方合同货款中扣除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乙方不得以任何方式转包或分包，如发现转包或分包，甲方有权终止合同，由此造成的经济损失由乙方承担；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乙方未按合同要求的时间交付报刊亭，每逾期一天，甲方从应拨付乙方合同货款中扣除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第十条  纠纷的处理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当事人从下列两种方式中选择第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种方式，作为本合同争议的解决方式。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因履行本合同发生的争议，由当事人协商解决，协商不成的，提交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因履行本合同发生的争议，由当事人协商解决，协商不成的，依法向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第十一条  附则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本合同一式四份，甲、乙双方各执两份，自双方签字盖章之日起生效。合同履行期间，甲、乙任何一方不得随意变更和解除合同。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合同执行过程中甲、乙双方对具体制作报刊亭数量有变更的以书面文字通知为准，口头通知无效，报刊亭规格的变动经双方共同协商后，作出补充条款为准，补充条款与本合同具有同等效力。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甲方（签章）：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（签章）：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签订地点：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签订地点：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  <w:rsid w:val="F36FC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0"/>
  </w:style>
  <w:style w:type="character" w:customStyle="1" w:styleId="25">
    <w:name w:val="批注文字 字符"/>
    <w:basedOn w:val="1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367</Words>
  <Characters>2093</Characters>
  <Lines>17</Lines>
  <Paragraphs>4</Paragraphs>
  <TotalTime>0</TotalTime>
  <ScaleCrop>false</ScaleCrop>
  <LinksUpToDate>false</LinksUpToDate>
  <CharactersWithSpaces>2456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2019-03-16T14:31:00Z</dcterms:created>
  <dc:creator>雯 张</dc:creator>
  <cp:lastModifiedBy>雯 张</cp:lastModifiedBy>
  <dcterms:modified xsi:type="dcterms:W3CDTF">2020-05-25T11:55:25Z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