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LED视频广告发布合同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甲、乙双方就LED媒体广告发布事宜，经双方充分协商，依据《中华人民共和国广告法》和《中华人民共和国民法典》及相关法律规定，本着平等互利的原则，签订本合同共同遵守。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一、广告发布内容及期限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1.广告发布内容、位置、时间及次数</w:t>
      </w:r>
    </w:p>
    <w:tbl>
      <w:tblPr>
        <w:tblStyle w:val="6"/>
        <w:tblW w:w="15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0"/>
        <w:gridCol w:w="4866"/>
        <w:gridCol w:w="1256"/>
        <w:gridCol w:w="1257"/>
        <w:gridCol w:w="2388"/>
        <w:gridCol w:w="5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广告内容</w:t>
            </w:r>
          </w:p>
        </w:tc>
        <w:tc>
          <w:tcPr>
            <w:tcW w:w="6122"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w:t>
            </w:r>
          </w:p>
        </w:tc>
        <w:tc>
          <w:tcPr>
            <w:tcW w:w="12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播放时间</w:t>
            </w:r>
          </w:p>
        </w:tc>
        <w:tc>
          <w:tcPr>
            <w:tcW w:w="819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北京时间</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(夏季)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(冬季)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广告审批号</w:t>
            </w:r>
          </w:p>
        </w:tc>
        <w:tc>
          <w:tcPr>
            <w:tcW w:w="48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tc>
        <w:tc>
          <w:tcPr>
            <w:tcW w:w="12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广告长度</w:t>
            </w:r>
          </w:p>
        </w:tc>
        <w:tc>
          <w:tcPr>
            <w:tcW w:w="12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秒/次</w:t>
            </w:r>
          </w:p>
        </w:tc>
        <w:tc>
          <w:tcPr>
            <w:tcW w:w="819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13"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广告发布位置</w:t>
            </w:r>
          </w:p>
        </w:tc>
        <w:tc>
          <w:tcPr>
            <w:tcW w:w="7379"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3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播出次数</w:t>
            </w:r>
          </w:p>
        </w:tc>
        <w:tc>
          <w:tcPr>
            <w:tcW w:w="58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 </w:t>
            </w:r>
            <w:r>
              <w:rPr>
                <w:rFonts w:hint="eastAsia" w:ascii="宋体" w:hAnsi="宋体" w:eastAsia="宋体" w:cs="宋体"/>
                <w:sz w:val="24"/>
                <w:szCs w:val="24"/>
              </w:rPr>
              <w:t>  次/天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5839"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二、广告费总额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本合同广告费总额为：人民币（大写）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r>
        <w:rPr>
          <w:rFonts w:hint="eastAsia" w:ascii="宋体" w:hAnsi="宋体" w:eastAsia="宋体" w:cs="宋体"/>
          <w:b/>
          <w:sz w:val="24"/>
          <w:szCs w:val="24"/>
        </w:rPr>
        <w:t>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第一次付款：在合同签订</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第三次付款：甲方须在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日前向乙方付清余款，支付金额为人民币（大写）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1.甲方提供播放的广告内容必须符合国家有关部门的管理规定，否则由此产生的一切责任由甲方独立承担。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7.甲方须承诺其提供的广告内容不会对任何第三方造成侵权。若因甲方提供的广告内容对第三方造成侵权的，责任由甲方自行承担。由此给乙方造成名誉损害和经济损失的，甲方应承担责任。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1.乙方利用LED显示屏为甲方播放广告，应办理必要的审批手续，以保证甲方广告的正常顺利播出。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2.乙方负责审查广告的内容，对不符合法律、法规要求的内容和表现形式、以及工商部门审核未通过的广告，乙方有权要求甲方进行修改，若甲方拒不修改，乙方有权拒绝发布。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4.因特殊原因而造成该广告当天不能在正常时间播出或不能播出时，乙方应及时通知甲方，并按“错一补一，漏一补一”予以补播。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5.因显示屏所在的建筑物产权人或物业管理人对建筑物进行维护（包括清洁、养护、装修等情况）导致显示屏无法运行时，乙方应将受影响情况提前</w:t>
      </w:r>
      <w:r>
        <w:rPr>
          <w:rFonts w:hint="eastAsia" w:ascii="宋体" w:hAnsi="宋体" w:eastAsia="宋体" w:cs="宋体"/>
          <w:sz w:val="24"/>
          <w:szCs w:val="24"/>
          <w:u w:val="single"/>
        </w:rPr>
        <w:t>    </w:t>
      </w:r>
      <w:r>
        <w:rPr>
          <w:rFonts w:hint="eastAsia" w:ascii="宋体" w:hAnsi="宋体" w:eastAsia="宋体" w:cs="宋体"/>
          <w:sz w:val="24"/>
          <w:szCs w:val="24"/>
        </w:rPr>
        <w:t>天通知甲方，并在显示屏恢复正常运行后由乙方安排顺延播出。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6.如甲方需要，乙方可向甲方提供广告播出期间计算机系统生成的播出日志报告。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1.甲方须在签订合同当日提供企业法人营业执照、生产（经营）许可证、商标注册证授委托书及其他证明其主体资格的相关手续复印件。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3.本合同未尽事宜由双方另行协商并就协商一致的内容以补充协议形式记录。补充协议与本合同具有同等法律效力。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63431A07"/>
    <w:rsid w:val="6D2531C7"/>
    <w:rsid w:val="7DC223E8"/>
    <w:rsid w:val="D1FF3C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