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电脑租赁合同</w:t>
      </w:r>
    </w:p>
    <w:p>
      <w:pPr>
        <w:widowControl/>
        <w:wordWrap w:val="0"/>
        <w:spacing w:after="100" w:line="360" w:lineRule="auto"/>
        <w:ind w:firstLine="480"/>
        <w:rPr>
          <w:rFonts w:ascii="Times New Roman" w:hAnsi="Times New Roman"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甲方（出租方）：</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地址：</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统一社会信用代码：</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法定代表人/负责人：</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tabs>
          <w:tab w:val="center" w:pos="4393"/>
        </w:tabs>
        <w:wordWrap w:val="0"/>
        <w:spacing w:after="312" w:afterLines="100" w:line="360" w:lineRule="auto"/>
        <w:ind w:firstLine="480"/>
        <w:rPr>
          <w:rFonts w:ascii="Times New Roman" w:hAnsi="Times New Roman"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联系电话：</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乙方（承租方）：</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地址：</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统一社会信用代码：</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法定代表人/负责人：</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312" w:afterLines="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联系电话：</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before="240" w:after="312" w:afterLines="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依据《中华人民共和国民法典》有关条款，甲乙双方经过充分协商，就乙方租赁甲方电脑事宜达成如下协议：</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第一条 租赁标的</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乙方租赁甲方电脑，电脑型号为：</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，配置为：</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。以下简称为租赁电脑。</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第二条 租赁时间</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起租时间：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日，退租时间：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日。在合同签订之日，乙方需向甲方支付电脑押金（大写）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），租金（大写）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）。如续租，请提前</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天通知甲方，并重新办理租赁手续</w:t>
      </w:r>
      <w:r>
        <w:rPr>
          <w:rFonts w:hint="eastAsia" w:ascii="宋体" w:hAnsi="宋体" w:eastAsia="宋体" w:cs="宋体"/>
          <w:color w:val="000000" w:themeColor="text1"/>
          <w:kern w:val="0"/>
          <w:sz w:val="24"/>
          <w:szCs w:val="24"/>
          <w14:textFill>
            <w14:solidFill>
              <w14:schemeClr w14:val="tx1"/>
            </w14:solidFill>
          </w14:textFill>
        </w:rPr>
        <w:t>。</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第三条 甲方义务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．甲方应将系统调试正常的电脑交付乙方使用，十公里内免费接、送设备上门。路程超出十公里部分由乙方按</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元／每公里承付（包括接、送），累加在第一个月租金中支付；</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．租赁期间，电脑出现非人为硬件故障，甲方提供</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内</w:t>
      </w:r>
      <w:r>
        <w:rPr>
          <w:rFonts w:hint="eastAsia" w:ascii="宋体" w:hAnsi="宋体" w:eastAsia="宋体" w:cs="宋体"/>
          <w:color w:val="000000" w:themeColor="text1"/>
          <w:kern w:val="0"/>
          <w:sz w:val="24"/>
          <w:szCs w:val="24"/>
          <w14:textFill>
            <w14:solidFill>
              <w14:schemeClr w14:val="tx1"/>
            </w14:solidFill>
          </w14:textFill>
        </w:rPr>
        <w:t>24</w:t>
      </w:r>
      <w:r>
        <w:rPr>
          <w:rFonts w:hint="eastAsia" w:ascii="Times New Roman" w:hAnsi="Times New Roman" w:eastAsia="宋体" w:cs="宋体"/>
          <w:color w:val="000000" w:themeColor="text1"/>
          <w:kern w:val="0"/>
          <w:sz w:val="24"/>
          <w:szCs w:val="24"/>
          <w14:textFill>
            <w14:solidFill>
              <w14:schemeClr w14:val="tx1"/>
            </w14:solidFill>
          </w14:textFill>
        </w:rPr>
        <w:t>小时（</w:t>
      </w:r>
      <w:r>
        <w:rPr>
          <w:rFonts w:hint="eastAsia" w:ascii="宋体" w:hAnsi="宋体" w:eastAsia="宋体" w:cs="宋体"/>
          <w:color w:val="000000" w:themeColor="text1"/>
          <w:kern w:val="0"/>
          <w:sz w:val="24"/>
          <w:szCs w:val="24"/>
          <w14:textFill>
            <w14:solidFill>
              <w14:schemeClr w14:val="tx1"/>
            </w14:solidFill>
          </w14:textFill>
        </w:rPr>
        <w:t xml:space="preserve">   公里</w:t>
      </w:r>
      <w:r>
        <w:rPr>
          <w:rFonts w:hint="eastAsia" w:ascii="Times New Roman" w:hAnsi="Times New Roman" w:eastAsia="宋体" w:cs="宋体"/>
          <w:color w:val="000000" w:themeColor="text1"/>
          <w:kern w:val="0"/>
          <w:sz w:val="24"/>
          <w:szCs w:val="24"/>
          <w14:textFill>
            <w14:solidFill>
              <w14:schemeClr w14:val="tx1"/>
            </w14:solidFill>
          </w14:textFill>
        </w:rPr>
        <w:t>外</w:t>
      </w:r>
      <w:r>
        <w:rPr>
          <w:rFonts w:hint="eastAsia" w:ascii="宋体" w:hAnsi="宋体" w:eastAsia="宋体" w:cs="宋体"/>
          <w:color w:val="000000" w:themeColor="text1"/>
          <w:kern w:val="0"/>
          <w:sz w:val="24"/>
          <w:szCs w:val="24"/>
          <w14:textFill>
            <w14:solidFill>
              <w14:schemeClr w14:val="tx1"/>
            </w14:solidFill>
          </w14:textFill>
        </w:rPr>
        <w:t>48</w:t>
      </w:r>
      <w:r>
        <w:rPr>
          <w:rFonts w:hint="eastAsia" w:ascii="Times New Roman" w:hAnsi="Times New Roman" w:eastAsia="宋体" w:cs="宋体"/>
          <w:color w:val="000000" w:themeColor="text1"/>
          <w:kern w:val="0"/>
          <w:sz w:val="24"/>
          <w:szCs w:val="24"/>
          <w14:textFill>
            <w14:solidFill>
              <w14:schemeClr w14:val="tx1"/>
            </w14:solidFill>
          </w14:textFill>
        </w:rPr>
        <w:t>小时）内免费上门更换或维修服务；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9</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00</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18</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00</w:t>
      </w:r>
      <w:r>
        <w:rPr>
          <w:rFonts w:hint="eastAsia" w:ascii="Times New Roman" w:hAnsi="Times New Roman" w:eastAsia="宋体" w:cs="宋体"/>
          <w:color w:val="000000" w:themeColor="text1"/>
          <w:kern w:val="0"/>
          <w:sz w:val="24"/>
          <w:szCs w:val="24"/>
          <w14:textFill>
            <w14:solidFill>
              <w14:schemeClr w14:val="tx1"/>
            </w14:solidFill>
          </w14:textFill>
        </w:rPr>
        <w:t>，甲方免费提供软硬件技术电话咨询服务；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r>
        <w:rPr>
          <w:rFonts w:hint="eastAsia" w:ascii="Times New Roman" w:hAnsi="Times New Roman" w:eastAsia="宋体" w:cs="宋体"/>
          <w:color w:val="000000" w:themeColor="text1"/>
          <w:kern w:val="0"/>
          <w:sz w:val="24"/>
          <w:szCs w:val="24"/>
          <w14:textFill>
            <w14:solidFill>
              <w14:schemeClr w14:val="tx1"/>
            </w14:solidFill>
          </w14:textFill>
        </w:rPr>
        <w:t>．提供乙方免费试用电脑</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天。如不满意，除接送费用由乙方负担外，押金、租金全款退还（乙方损坏硬件除外）。</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第四条 乙方权利</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．租赁期间，电脑出现非人为物理故障，乙方有权要求甲方在接报修电话后</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内</w:t>
      </w:r>
      <w:r>
        <w:rPr>
          <w:rFonts w:hint="eastAsia" w:ascii="宋体" w:hAnsi="宋体" w:eastAsia="宋体" w:cs="宋体"/>
          <w:color w:val="000000" w:themeColor="text1"/>
          <w:kern w:val="0"/>
          <w:sz w:val="24"/>
          <w:szCs w:val="24"/>
          <w14:textFill>
            <w14:solidFill>
              <w14:schemeClr w14:val="tx1"/>
            </w14:solidFill>
          </w14:textFill>
        </w:rPr>
        <w:t>24</w:t>
      </w:r>
      <w:r>
        <w:rPr>
          <w:rFonts w:hint="eastAsia" w:ascii="Times New Roman" w:hAnsi="Times New Roman" w:eastAsia="宋体" w:cs="宋体"/>
          <w:color w:val="000000" w:themeColor="text1"/>
          <w:kern w:val="0"/>
          <w:sz w:val="24"/>
          <w:szCs w:val="24"/>
          <w14:textFill>
            <w14:solidFill>
              <w14:schemeClr w14:val="tx1"/>
            </w14:solidFill>
          </w14:textFill>
        </w:rPr>
        <w:t>小时（</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外</w:t>
      </w:r>
      <w:r>
        <w:rPr>
          <w:rFonts w:hint="eastAsia" w:ascii="宋体" w:hAnsi="宋体" w:eastAsia="宋体" w:cs="宋体"/>
          <w:color w:val="000000" w:themeColor="text1"/>
          <w:kern w:val="0"/>
          <w:sz w:val="24"/>
          <w:szCs w:val="24"/>
          <w14:textFill>
            <w14:solidFill>
              <w14:schemeClr w14:val="tx1"/>
            </w14:solidFill>
          </w14:textFill>
        </w:rPr>
        <w:t>48</w:t>
      </w:r>
      <w:r>
        <w:rPr>
          <w:rFonts w:hint="eastAsia" w:ascii="Times New Roman" w:hAnsi="Times New Roman" w:eastAsia="宋体" w:cs="宋体"/>
          <w:color w:val="000000" w:themeColor="text1"/>
          <w:kern w:val="0"/>
          <w:sz w:val="24"/>
          <w:szCs w:val="24"/>
          <w14:textFill>
            <w14:solidFill>
              <w14:schemeClr w14:val="tx1"/>
            </w14:solidFill>
          </w14:textFill>
        </w:rPr>
        <w:t>小时）免费上门维修；</w:t>
      </w:r>
      <w:r>
        <w:rPr>
          <w:rFonts w:hint="eastAsia" w:ascii="宋体" w:hAnsi="宋体" w:eastAsia="宋体" w:cs="宋体"/>
          <w:color w:val="000000" w:themeColor="text1"/>
          <w:kern w:val="0"/>
          <w:sz w:val="24"/>
          <w:szCs w:val="24"/>
          <w14:textFill>
            <w14:solidFill>
              <w14:schemeClr w14:val="tx1"/>
            </w14:solidFill>
          </w14:textFill>
        </w:rPr>
        <w:t xml:space="preserve"> </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．乙方在租赁期间，可享受甲方优惠条款所提供的服务（如打折，赠送礼物等，请留意公司网站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第五条 乙方义务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．乙方对所租赁电脑及配件应妥善保管并保持清洁。如配件不全或损坏（光驱能读测试盘即可），所损坏配件按保值价赔偿（保值价另行约定）；</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．禁止乙方将电脑超频使用。由于病毒或超频等原因导致硬件毁坏，损失费应由乙方按保值价赔偿；</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．租赁期满后，乙方应及时将电脑退还甲方。逾期不还，按每月</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倍租金计算。如续租，则需重新办理续租手续；</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r>
        <w:rPr>
          <w:rFonts w:hint="eastAsia" w:ascii="Times New Roman" w:hAnsi="Times New Roman" w:eastAsia="宋体" w:cs="宋体"/>
          <w:color w:val="000000" w:themeColor="text1"/>
          <w:kern w:val="0"/>
          <w:sz w:val="24"/>
          <w:szCs w:val="24"/>
          <w14:textFill>
            <w14:solidFill>
              <w14:schemeClr w14:val="tx1"/>
            </w14:solidFill>
          </w14:textFill>
        </w:rPr>
        <w:t>．乙方不得擅自拆开电脑配件封条，否则按电脑保值价赔偿。</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第六条 违约处理</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甲方违约：</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．如甲方未能及时将押金退还乙方，甲方每天应按押金的</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％向乙方支付违约金；</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．如甲方提供的维修服务项目与协议不相符，乙方有权提前退还电脑，甲方应全额退还剩余的租金及电脑押金。</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乙方违约：</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．如乙方不按时缴纳租金，甲方有权在其押金中扣除，同时收回电脑，所有损失由乙方负责；</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．如果乙方在租赁期限未满时退租，甲方仅退还剩余租金的</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％（租期未满一个月的不在此例）；</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．由于乙方原因导致所租赁电脑硬件损坏而拒不支付协议所规定的损失费给甲方，甲方有权要求乙方按保值价赔偿已损坏电脑配件，并直接在乙方押金中扣除。</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第七条 合同的终止</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1、双方协商一致解除合同；</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2、租赁期限满而没有续约；</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3、乙方不支付租金，甲方有权终止合同。</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 xml:space="preserve">第八条 </w:t>
      </w:r>
      <w:r>
        <w:rPr>
          <w:rFonts w:hint="eastAsia" w:ascii="Times New Roman" w:hAnsi="Times New Roman" w:eastAsia="宋体" w:cs="宋体"/>
          <w:color w:val="000000" w:themeColor="text1"/>
          <w:kern w:val="0"/>
          <w:sz w:val="24"/>
          <w:szCs w:val="24"/>
          <w14:textFill>
            <w14:solidFill>
              <w14:schemeClr w14:val="tx1"/>
            </w14:solidFill>
          </w14:textFill>
        </w:rPr>
        <w:t>双方关于协议的争议，首先应友好协商解决。如协商未果，可向</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法院提请诉讼。</w:t>
      </w:r>
    </w:p>
    <w:p>
      <w:pPr>
        <w:widowControl/>
        <w:wordWrap w:val="0"/>
        <w:spacing w:after="312" w:afterLines="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 xml:space="preserve">第九条 </w:t>
      </w:r>
      <w:r>
        <w:rPr>
          <w:rFonts w:hint="eastAsia" w:ascii="Times New Roman" w:hAnsi="Times New Roman" w:eastAsia="宋体" w:cs="宋体"/>
          <w:color w:val="000000" w:themeColor="text1"/>
          <w:kern w:val="0"/>
          <w:sz w:val="24"/>
          <w:szCs w:val="24"/>
          <w14:textFill>
            <w14:solidFill>
              <w14:schemeClr w14:val="tx1"/>
            </w14:solidFill>
          </w14:textFill>
        </w:rPr>
        <w:t>本协议书一式</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份，甲乙双方各执</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份；本协议甲乙双方签字后生效。补充协议亦属于合同的一部分。</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甲方（盖章）：</w:t>
            </w:r>
          </w:p>
        </w:tc>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after="100" w:line="360" w:lineRule="auto"/>
              <w:rPr>
                <w:rFonts w:ascii="宋体" w:hAnsi="宋体"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法定代表人（签字）：</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tc>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法定代表人（签字）：</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签订日期：</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w:t>
            </w:r>
          </w:p>
        </w:tc>
        <w:tc>
          <w:tcPr>
            <w:tcW w:w="4153" w:type="dxa"/>
          </w:tcPr>
          <w:p>
            <w:pPr>
              <w:wordWrap w:val="0"/>
              <w:spacing w:after="100"/>
              <w:rPr>
                <w:rFonts w:ascii="Times New Roman" w:hAnsi="Times New Roman" w:eastAsia="宋体"/>
                <w:color w:val="000000" w:themeColor="text1"/>
                <w:kern w:val="0"/>
                <w:sz w:val="20"/>
                <w:szCs w:val="20"/>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签订日期：</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w:t>
            </w:r>
          </w:p>
        </w:tc>
      </w:tr>
    </w:tbl>
    <w:p>
      <w:pPr>
        <w:wordWrap w:val="0"/>
        <w:spacing w:after="100" w:line="360" w:lineRule="auto"/>
        <w:rPr>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49555F"/>
    <w:rsid w:val="004C16B7"/>
    <w:rsid w:val="00555884"/>
    <w:rsid w:val="00561809"/>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72CFF"/>
    <w:rsid w:val="00EC65B8"/>
    <w:rsid w:val="1CF6EC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2"/>
    <w:semiHidden/>
    <w:unhideWhenUsed/>
    <w:uiPriority w:val="99"/>
    <w:rPr>
      <w:rFonts w:ascii="宋体" w:eastAsia="宋体"/>
      <w:sz w:val="24"/>
      <w:szCs w:val="24"/>
    </w:rPr>
  </w:style>
  <w:style w:type="paragraph" w:styleId="4">
    <w:name w:val="annotation text"/>
    <w:basedOn w:val="1"/>
    <w:link w:val="17"/>
    <w:uiPriority w:val="0"/>
    <w:pPr>
      <w:jc w:val="left"/>
    </w:pPr>
    <w:rPr>
      <w:rFonts w:ascii="Times New Roman" w:hAnsi="Times New Roman"/>
    </w:rPr>
  </w:style>
  <w:style w:type="paragraph" w:styleId="5">
    <w:name w:val="Plain Text"/>
    <w:basedOn w:val="1"/>
    <w:link w:val="24"/>
    <w:uiPriority w:val="0"/>
    <w:rPr>
      <w:rFonts w:hint="eastAsia" w:ascii="宋体" w:hAnsi="Courier New" w:eastAsia="宋体" w:cs="Times New Roman"/>
      <w:szCs w:val="20"/>
    </w:rPr>
  </w:style>
  <w:style w:type="paragraph" w:styleId="6">
    <w:name w:val="Balloon Text"/>
    <w:basedOn w:val="1"/>
    <w:link w:val="21"/>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customStyle="1" w:styleId="14">
    <w:name w:val="标题 3 字符"/>
    <w:basedOn w:val="12"/>
    <w:link w:val="2"/>
    <w:uiPriority w:val="0"/>
    <w:rPr>
      <w:rFonts w:eastAsia="宋体"/>
      <w:b/>
      <w:bCs/>
      <w:sz w:val="32"/>
      <w:szCs w:val="32"/>
    </w:rPr>
  </w:style>
  <w:style w:type="character" w:customStyle="1" w:styleId="15">
    <w:name w:val="页眉 字符"/>
    <w:link w:val="8"/>
    <w:uiPriority w:val="99"/>
    <w:rPr>
      <w:sz w:val="18"/>
      <w:szCs w:val="18"/>
    </w:rPr>
  </w:style>
  <w:style w:type="character" w:customStyle="1" w:styleId="16">
    <w:name w:val="页脚 字符"/>
    <w:link w:val="7"/>
    <w:uiPriority w:val="99"/>
    <w:rPr>
      <w:sz w:val="18"/>
      <w:szCs w:val="18"/>
    </w:rPr>
  </w:style>
  <w:style w:type="character" w:customStyle="1" w:styleId="17">
    <w:name w:val="批注文字 字符"/>
    <w:link w:val="4"/>
    <w:uiPriority w:val="0"/>
    <w:rPr>
      <w:rFonts w:ascii="Times New Roman" w:hAnsi="Times New Roman"/>
    </w:rPr>
  </w:style>
  <w:style w:type="character" w:customStyle="1" w:styleId="18">
    <w:name w:val="页眉 字符1"/>
    <w:basedOn w:val="12"/>
    <w:semiHidden/>
    <w:uiPriority w:val="99"/>
    <w:rPr>
      <w:sz w:val="18"/>
      <w:szCs w:val="18"/>
    </w:rPr>
  </w:style>
  <w:style w:type="character" w:customStyle="1" w:styleId="19">
    <w:name w:val="批注文字 字符1"/>
    <w:basedOn w:val="12"/>
    <w:semiHidden/>
    <w:uiPriority w:val="99"/>
  </w:style>
  <w:style w:type="character" w:customStyle="1" w:styleId="20">
    <w:name w:val="页脚 字符1"/>
    <w:basedOn w:val="12"/>
    <w:semiHidden/>
    <w:uiPriority w:val="99"/>
    <w:rPr>
      <w:sz w:val="18"/>
      <w:szCs w:val="18"/>
    </w:rPr>
  </w:style>
  <w:style w:type="character" w:customStyle="1" w:styleId="21">
    <w:name w:val="批注框文本 字符"/>
    <w:basedOn w:val="12"/>
    <w:link w:val="6"/>
    <w:semiHidden/>
    <w:uiPriority w:val="99"/>
    <w:rPr>
      <w:sz w:val="18"/>
      <w:szCs w:val="18"/>
    </w:rPr>
  </w:style>
  <w:style w:type="character" w:customStyle="1" w:styleId="22">
    <w:name w:val="文档结构图 字符"/>
    <w:basedOn w:val="12"/>
    <w:link w:val="3"/>
    <w:semiHidden/>
    <w:uiPriority w:val="99"/>
    <w:rPr>
      <w:rFonts w:ascii="宋体" w:eastAsia="宋体"/>
      <w:sz w:val="24"/>
      <w:szCs w:val="24"/>
    </w:rPr>
  </w:style>
  <w:style w:type="paragraph" w:styleId="23">
    <w:name w:val="List Paragraph"/>
    <w:basedOn w:val="1"/>
    <w:qFormat/>
    <w:uiPriority w:val="34"/>
    <w:pPr>
      <w:ind w:firstLine="420" w:firstLineChars="200"/>
    </w:pPr>
  </w:style>
  <w:style w:type="character" w:customStyle="1" w:styleId="24">
    <w:name w:val="纯文本 字符"/>
    <w:basedOn w:val="12"/>
    <w:link w:val="5"/>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246</Words>
  <Characters>1407</Characters>
  <Lines>11</Lines>
  <Paragraphs>3</Paragraphs>
  <TotalTime>0</TotalTime>
  <ScaleCrop>false</ScaleCrop>
  <LinksUpToDate>false</LinksUpToDate>
  <CharactersWithSpaces>1650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2019-03-16T16:24:00Z</dcterms:created>
  <dc:creator>雯 张</dc:creator>
  <cp:lastModifiedBy>雯 张</cp:lastModifiedBy>
  <dcterms:modified xsi:type="dcterms:W3CDTF">2020-05-20T09:24:00Z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