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"/>
        <w:keepNext w:val="0"/>
        <w:keepLines w:val="0"/>
        <w:widowControl/>
        <w:suppressLineNumbers w:val="0"/>
        <w:jc w:val="center"/>
        <w:rPr>
          <w:rFonts w:ascii="宋体" w:hAnsi="宋体" w:eastAsia="宋体" w:cs="宋体"/>
          <w:b/>
          <w:sz w:val="32"/>
          <w:szCs w:val="32"/>
        </w:rPr>
      </w:pPr>
      <w:bookmarkStart w:id="0" w:name="_GoBack"/>
      <w:r>
        <w:rPr>
          <w:rFonts w:hint="eastAsia" w:ascii="宋体" w:hAnsi="宋体" w:eastAsia="宋体" w:cs="宋体"/>
          <w:b/>
          <w:sz w:val="32"/>
          <w:szCs w:val="32"/>
        </w:rPr>
        <w:t>膜结构工程合同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法定代表人：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根据《中华人民共和国民法典》，关于“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” 膜结构整改工程，为了明确双方的权利、义务和经济责任，经甲乙双方协商一致，签订本合同，以资共同遵守执行。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第一条 工程概况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1.1 项目名称：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1.2 项目地点：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1.3 承包项目内容：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（1）膜结构找形、裁剪、及膜节点设计。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（2）加工安装内容：膜成品、膜连接件及油漆的材料供应、运输、加工、安装；并对原有主体钢结构进行除锈和重新做油漆。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（3）不包含内容：不包含主体钢结构的更改、不包含膜结构在照明系统及外部装饰工程。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（4）本工程膜采用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国进口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膜材，颜色为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色。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1.4 项目工期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自合同签定生效后，并甲方首期付款到乙方指定帐户之日起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个日历日内完成。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如遇下列原因工期相应顺延：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（1）甲方不按期提供水电，及现场不具备安装条件。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（2）不按期支付工程款。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（3）因不可抗拒自然力（战争、地震）的因素。非乙方原因造成。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第二条 项目价款及付款方式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2.1 项目款：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本合同项目总造价为人民币（大写）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元）。如需开发票需另加收工程总价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 的税款。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付款方式：电汇或银行转账。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2.2 付款进度：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（1）合同签订生效后，甲方应支付给乙方本工程的工程定金人民币（大写）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（2）膜材料全部进场，甲方应支付给乙方工程款人民币（大写）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（3）膜结构工程全部安装完工，甲方应支付给乙方工程款人民币（大写）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（4）留工程总款的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%，计人民币（大写）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    </w:t>
      </w:r>
      <w:r>
        <w:rPr>
          <w:rFonts w:hint="eastAsia" w:ascii="宋体" w:hAnsi="宋体" w:eastAsia="宋体" w:cs="宋体"/>
          <w:sz w:val="24"/>
          <w:szCs w:val="24"/>
        </w:rPr>
        <w:t>（￥</w:t>
      </w:r>
      <w:r>
        <w:rPr>
          <w:rFonts w:hint="eastAsia" w:ascii="宋体" w:hAnsi="宋体" w:eastAsia="宋体" w:cs="宋体"/>
          <w:sz w:val="24"/>
          <w:szCs w:val="24"/>
          <w:u w:val="single"/>
        </w:rPr>
        <w:t>    </w:t>
      </w:r>
      <w:r>
        <w:rPr>
          <w:rFonts w:hint="eastAsia" w:ascii="宋体" w:hAnsi="宋体" w:eastAsia="宋体" w:cs="宋体"/>
          <w:sz w:val="24"/>
          <w:szCs w:val="24"/>
        </w:rPr>
        <w:t>元），作为本工程的质量保证金，工程保修期满1年后无质量问题，由甲方在保修期满后七日内一次性支付给乙方。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第三条 甲乙双方责任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3.1 甲方责任：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（1）做好乙方进场施工前的三通一平工作，包括水、电、道路、基础强度、水、电设施应通到安装现场三十米内，并负责工程项目现场所需的水、电，费用。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（2）甲方负责乙方在施工过程所需的相关手续及并协调乙方与各方关系。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（3）甲方应按合同要求按期拨付项目款，以确保项目工期。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（4）甲方为乙方提供约    ㎡的临时仓库，用于膜材半成品的存放。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（5）对工程组织竣工验收和办理竣工结算。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对本项目膜材的安装方案图纸、说明和相关技术资料，作为施工有效依据，经甲方和业主签字认可后不得随意修改，如需改动须经甲乙双方协商。对于重大修改，甲方应补偿乙方因改动造成的损失并顺延工期。如产品已制造中或施工中，其变更尺寸、数量等所需费用及一切损失由甲方负责，同时双方应签订补充协议。乙方不认可任何非书面通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3.2 乙方责任：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（1）乙方应服从甲方的统一管理，配合甲方作好现场施工工作。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（2）乙方应在合同签定后五个工作日内向甲方提供项目进度计划表。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（3）乙方应认真按图施工、保质保量完成项目内容。在施工期间应负责人员的安全、产品的保护工作。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（4）乙方不得无故拖延工期。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（5）乙方向甲方提出施工所需水、电的要求。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（6）乙方在进场施工前三天应向甲方和业主发出进场要求通知书，并在接到甲方准许进场通知书后方可进场施工。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（7）乙方在甲方工地施工期间的一切人员安全、保险均由乙方负责。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（8）工程完成乙方负责一年保修（非人为损坏）。在保修期内，因甲方使用不当或非乙方因素引起的损坏，其返修费用不由乙方承担。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第四条 违约责任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4.1 甲方责任：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（1）本合同工程未验收之前，如甲方擅自动用，因此发生的工程质量问题或其它损失及一切后果由甲方承担。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（2）甲方不按合同规定支付工程款，除工期顺延外，需向乙方支付滞纳金每日万分之五，并赔偿由此造成的实际损失。如拖欠款超过一周，乙方有权停止该工程的施工，由此造成的一切损失由甲方负责。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4.2 乙方责任：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（1）工程施工质量不符合设计图纸规定的，负责无偿修理及返工并不得影响合同工期，由此造成的实际损失由乙方承担。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（2）乙方原因不能履行合同进度，因此造成相关工程的延误和损失，乙方承担相应责任，并向甲方支付滞纳金每日万分之五，并赔偿由此造成的损失。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第五条 工程停建或缓建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由于不可抗力及其它甲乙双方之外的原因导致工程停建或缓建，使合同不能继续履行，乙方应妥善做好已完工程和已购材料、设备的保护和移交工作，按甲方要求将自有机械设备和人员撤出施工现场。甲方应为乙方撤出提供必要条件，并按合同规定支付已完工程价款和已购材料款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第六条 竣工验收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6.1 本合同工程的验收，在国家未规定膜结构施工资质及验收标准之前，以本合同相关条款规定认可的设计方案、设计图纸、设计说明及乙方提供给甲方的技术资料为依据。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6.2 本合同工程具备竣工验收条件后，乙方应及时向甲方代表发出竣工通知书，同时乙方向业主和甲方代表提供完整竣工资料和工程结算书三份，甲方在接到竣工通知书后三个工作日内应组织有关人员验收，如果甲方在接到竣工通知书三个工作日内没有组织有关人员验收，则视为此工程已验收通过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6.3 本合同工程验收后，甲方应在三日内签署验收合格证明，并办清移交手续。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第七条 质量保证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7.1 乙方提供工程项目竣工后一年内的免费保修、维护。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7.2 乙方提供工程项目保修期过后的维护，只收取基本工本费。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7.3 项目竣工验收合格后，乙方应在向甲方交付工程的同时，交付《产品维护说明书》及《质量保证书》各一份。</w:t>
      </w:r>
    </w:p>
    <w:p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b/>
          <w:sz w:val="24"/>
          <w:szCs w:val="24"/>
        </w:rPr>
      </w:pPr>
      <w:r>
        <w:rPr>
          <w:rStyle w:val="8"/>
          <w:rFonts w:hint="eastAsia" w:ascii="宋体" w:hAnsi="宋体" w:eastAsia="宋体" w:cs="宋体"/>
          <w:b/>
          <w:sz w:val="24"/>
          <w:szCs w:val="24"/>
        </w:rPr>
        <w:t>第八条 附则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8.1 本合同由双方代表签字盖章即日起生效，在竣工结算、甲方支付款项完毕，乙方将工程交付甲方后，除免费保修一年外，其它条款即告终止。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8.2 本合同一式肆份，甲乙双方各执贰份。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8.3 本合同具有法律效力，违约双方将承担法律责任。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8.4 甲乙双方在履行合同时若发生争议，可以和解或者要求主管部门调解。当事人不愿和解、调解或者和解、调解不成的，可向合同签定地仲裁委员会申请仲裁；或者向有管辖权的人民法院起诉。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8.5 一方若无故中途终止合同的履行，应向另一方支付工程总造价的30%的违约金额。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签署时间：    年    月    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甲方（盖章）：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br w:type="textWrapping"/>
      </w:r>
      <w:r>
        <w:rPr>
          <w:rStyle w:val="8"/>
          <w:rFonts w:hint="eastAsia" w:ascii="宋体" w:hAnsi="宋体" w:eastAsia="宋体" w:cs="宋体"/>
          <w:b/>
          <w:sz w:val="24"/>
          <w:szCs w:val="24"/>
        </w:rPr>
        <w:t>乙方（盖章）：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联系人：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联系方式：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地址：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 w:line="360" w:lineRule="atLeast"/>
        <w:ind w:left="0" w:right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 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1C6C53"/>
    <w:rsid w:val="01CF6596"/>
    <w:rsid w:val="05C52FB7"/>
    <w:rsid w:val="0B65306F"/>
    <w:rsid w:val="27285CC7"/>
    <w:rsid w:val="283B0B3B"/>
    <w:rsid w:val="393C6139"/>
    <w:rsid w:val="399B6873"/>
    <w:rsid w:val="39CE1D19"/>
    <w:rsid w:val="40564740"/>
    <w:rsid w:val="482C1F40"/>
    <w:rsid w:val="497B6BA2"/>
    <w:rsid w:val="4F9923C0"/>
    <w:rsid w:val="5569353D"/>
    <w:rsid w:val="55B55277"/>
    <w:rsid w:val="598D28B2"/>
    <w:rsid w:val="5D673200"/>
    <w:rsid w:val="62FC3CAE"/>
    <w:rsid w:val="64EF031B"/>
    <w:rsid w:val="661C6C53"/>
    <w:rsid w:val="7AAF51F2"/>
    <w:rsid w:val="7CF6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2019-06-11T09:58:00Z</dcterms:created>
  <dc:creator>Administrator</dc:creator>
  <cp:lastModifiedBy>Administrator</cp:lastModifiedBy>
  <dcterms:modified xsi:type="dcterms:W3CDTF">2019-06-11T10:26:59Z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