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ascii="宋体" w:hAnsi="宋体" w:eastAsia="宋体" w:cs="宋体"/>
          <w:b/>
          <w:sz w:val="32"/>
          <w:szCs w:val="32"/>
        </w:rPr>
      </w:pPr>
      <w:r>
        <w:rPr>
          <w:rFonts w:hint="eastAsia"/>
          <w:lang w:val="en-US" w:eastAsia="zh-CN"/>
        </w:rPr>
        <w:t xml:space="preserve">  </w:t>
      </w:r>
      <w:r>
        <w:rPr>
          <w:rStyle w:val="6"/>
          <w:rFonts w:hint="eastAsia" w:ascii="宋体" w:hAnsi="宋体" w:eastAsia="宋体" w:cs="宋体"/>
          <w:b/>
          <w:sz w:val="32"/>
          <w:szCs w:val="32"/>
        </w:rPr>
        <w:t>出资协议</w:t>
      </w:r>
      <w:r>
        <w:rPr>
          <w:rFonts w:hint="eastAsia" w:ascii="宋体" w:hAnsi="宋体" w:eastAsia="宋体" w:cs="宋体"/>
          <w:b/>
          <w:sz w:val="32"/>
          <w:szCs w:val="32"/>
        </w:rPr>
        <w:t>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6"/>
          <w:rFonts w:hint="eastAsia" w:ascii="宋体" w:hAnsi="宋体" w:eastAsia="宋体" w:cs="宋体"/>
          <w:b/>
          <w:sz w:val="24"/>
          <w:szCs w:val="24"/>
        </w:rPr>
        <w:t>甲方：</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6"/>
          <w:rFonts w:hint="eastAsia" w:ascii="宋体" w:hAnsi="宋体" w:eastAsia="宋体" w:cs="宋体"/>
          <w:b/>
          <w:sz w:val="24"/>
          <w:szCs w:val="24"/>
        </w:rPr>
        <w:t>乙方：</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6"/>
          <w:rFonts w:hint="eastAsia" w:ascii="宋体" w:hAnsi="宋体" w:eastAsia="宋体" w:cs="宋体"/>
          <w:b/>
          <w:sz w:val="24"/>
          <w:szCs w:val="24"/>
        </w:rPr>
        <w:t>丙方：</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本协议各方经友好协商，拟共同出资设立一家有限责任公司（以下简称“公司”）。为明确权利义务，各方依照《中华人民共和国民法典》、《中华人民共和国公司法》及其他相关法律法规的规定，签订本</w:t>
      </w:r>
      <w:bookmarkStart w:id="0" w:name="_GoBack"/>
      <w:bookmarkEnd w:id="0"/>
      <w:r>
        <w:rPr>
          <w:rFonts w:hint="eastAsia" w:ascii="宋体" w:hAnsi="宋体" w:eastAsia="宋体" w:cs="宋体"/>
          <w:sz w:val="24"/>
          <w:szCs w:val="24"/>
        </w:rPr>
        <w:t>协议，以资共同信守。</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6"/>
          <w:rFonts w:hint="eastAsia" w:ascii="宋体" w:hAnsi="宋体" w:eastAsia="宋体" w:cs="宋体"/>
          <w:b/>
          <w:sz w:val="24"/>
          <w:szCs w:val="24"/>
        </w:rPr>
        <w:t>第1条 拟设公司基本信息</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公司拟定名称 “</w:t>
      </w:r>
      <w:r>
        <w:rPr>
          <w:rFonts w:hint="eastAsia" w:ascii="宋体" w:hAnsi="宋体" w:eastAsia="宋体" w:cs="宋体"/>
          <w:sz w:val="24"/>
          <w:szCs w:val="24"/>
          <w:u w:val="single"/>
        </w:rPr>
        <w:t>        </w:t>
      </w:r>
      <w:r>
        <w:rPr>
          <w:rFonts w:hint="eastAsia" w:ascii="宋体" w:hAnsi="宋体" w:eastAsia="宋体" w:cs="宋体"/>
          <w:sz w:val="24"/>
          <w:szCs w:val="24"/>
        </w:rPr>
        <w:t>公司”，并有不同字号的备选名称若干。公司名称以工商行政管理部门预先核准的为准。</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公司的住所地拟设在</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公司的组织形式为有限责任公司。</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公司的经营范围为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公司的经营期限为</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6"/>
          <w:rFonts w:hint="eastAsia" w:ascii="宋体" w:hAnsi="宋体" w:eastAsia="宋体" w:cs="宋体"/>
          <w:b/>
          <w:sz w:val="24"/>
          <w:szCs w:val="24"/>
        </w:rPr>
        <w:t>第2条 注册资本、出资额及持股比例</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各方一致同意，公司设立时注册资本为</w:t>
      </w:r>
      <w:r>
        <w:rPr>
          <w:rFonts w:hint="eastAsia" w:ascii="宋体" w:hAnsi="宋体" w:eastAsia="宋体" w:cs="宋体"/>
          <w:sz w:val="24"/>
          <w:szCs w:val="24"/>
          <w:u w:val="single"/>
        </w:rPr>
        <w:t>        </w:t>
      </w:r>
      <w:r>
        <w:rPr>
          <w:rFonts w:hint="eastAsia" w:ascii="宋体" w:hAnsi="宋体" w:eastAsia="宋体" w:cs="宋体"/>
          <w:sz w:val="24"/>
          <w:szCs w:val="24"/>
        </w:rPr>
        <w:t>万元人民币（￥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各方出资情况如下：</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804"/>
        <w:gridCol w:w="1061"/>
        <w:gridCol w:w="1318"/>
        <w:gridCol w:w="546"/>
        <w:gridCol w:w="3504"/>
        <w:gridCol w:w="289"/>
        <w:gridCol w:w="289"/>
        <w:gridCol w:w="118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804" w:type="dxa"/>
            <w:tcBorders>
              <w:top w:val="single" w:color="000000" w:sz="6" w:space="0"/>
              <w:left w:val="single" w:color="000000" w:sz="6" w:space="0"/>
              <w:bottom w:val="single" w:color="000000" w:sz="6" w:space="0"/>
              <w:right w:val="single" w:color="000000" w:sz="6" w:space="0"/>
            </w:tcBorders>
            <w:shd w:val="clear"/>
            <w:vAlign w:val="center"/>
          </w:tcPr>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出资人</w:t>
            </w:r>
          </w:p>
        </w:tc>
        <w:tc>
          <w:tcPr>
            <w:tcW w:w="1061" w:type="dxa"/>
            <w:tcBorders>
              <w:top w:val="single" w:color="000000" w:sz="6" w:space="0"/>
              <w:left w:val="single" w:color="000000" w:sz="6" w:space="0"/>
              <w:bottom w:val="single" w:color="000000" w:sz="6" w:space="0"/>
              <w:right w:val="single" w:color="000000" w:sz="6" w:space="0"/>
            </w:tcBorders>
            <w:shd w:val="clear"/>
            <w:vAlign w:val="center"/>
          </w:tcPr>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出资方式</w:t>
            </w:r>
          </w:p>
        </w:tc>
        <w:tc>
          <w:tcPr>
            <w:tcW w:w="1318" w:type="dxa"/>
            <w:tcBorders>
              <w:top w:val="single" w:color="000000" w:sz="6" w:space="0"/>
              <w:left w:val="single" w:color="000000" w:sz="6" w:space="0"/>
              <w:bottom w:val="single" w:color="000000" w:sz="6" w:space="0"/>
              <w:right w:val="single" w:color="000000" w:sz="6" w:space="0"/>
            </w:tcBorders>
            <w:shd w:val="clear"/>
            <w:vAlign w:val="center"/>
          </w:tcPr>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认缴出资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（万元）</w:t>
            </w:r>
          </w:p>
        </w:tc>
        <w:tc>
          <w:tcPr>
            <w:tcW w:w="546" w:type="dxa"/>
            <w:tcBorders>
              <w:top w:val="single" w:color="000000" w:sz="6" w:space="0"/>
              <w:left w:val="single" w:color="000000" w:sz="6" w:space="0"/>
              <w:bottom w:val="single" w:color="000000" w:sz="6" w:space="0"/>
              <w:right w:val="single" w:color="000000" w:sz="6" w:space="0"/>
            </w:tcBorders>
            <w:shd w:val="clear"/>
            <w:vAlign w:val="center"/>
          </w:tcPr>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出资</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期数</w:t>
            </w:r>
          </w:p>
        </w:tc>
        <w:tc>
          <w:tcPr>
            <w:tcW w:w="4082" w:type="dxa"/>
            <w:gridSpan w:val="3"/>
            <w:tcBorders>
              <w:top w:val="single" w:color="000000" w:sz="6" w:space="0"/>
              <w:left w:val="single" w:color="000000" w:sz="6" w:space="0"/>
              <w:bottom w:val="single" w:color="000000" w:sz="6" w:space="0"/>
              <w:right w:val="single" w:color="000000" w:sz="6" w:space="0"/>
            </w:tcBorders>
            <w:shd w:val="clear"/>
            <w:vAlign w:val="center"/>
          </w:tcPr>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出资时间及</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实缴出资额（万元）、出资比例</w:t>
            </w:r>
          </w:p>
        </w:tc>
        <w:tc>
          <w:tcPr>
            <w:tcW w:w="1189" w:type="dxa"/>
            <w:tcBorders>
              <w:top w:val="single" w:color="000000" w:sz="6" w:space="0"/>
              <w:left w:val="single" w:color="000000" w:sz="6" w:space="0"/>
              <w:bottom w:val="single" w:color="000000" w:sz="6" w:space="0"/>
              <w:right w:val="single" w:color="000000" w:sz="6" w:space="0"/>
            </w:tcBorders>
            <w:shd w:val="clear"/>
            <w:vAlign w:val="center"/>
          </w:tcPr>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持股</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比例（%）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804"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p>
        </w:tc>
        <w:tc>
          <w:tcPr>
            <w:tcW w:w="1061"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货币</w:t>
            </w:r>
          </w:p>
        </w:tc>
        <w:tc>
          <w:tcPr>
            <w:tcW w:w="1318"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46"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504" w:type="dxa"/>
            <w:tcBorders>
              <w:top w:val="single" w:color="000000" w:sz="6" w:space="0"/>
              <w:left w:val="single" w:color="000000" w:sz="6" w:space="0"/>
              <w:bottom w:val="single" w:color="000000" w:sz="6" w:space="0"/>
              <w:right w:val="single" w:color="000000" w:sz="6" w:space="0"/>
            </w:tcBorders>
            <w:shd w:val="clear"/>
            <w:vAlign w:val="center"/>
          </w:tcPr>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tc>
        <w:tc>
          <w:tcPr>
            <w:tcW w:w="289" w:type="dxa"/>
            <w:tcBorders>
              <w:top w:val="single" w:color="000000" w:sz="6" w:space="0"/>
              <w:left w:val="single" w:color="000000" w:sz="6" w:space="0"/>
              <w:bottom w:val="single" w:color="000000" w:sz="6" w:space="0"/>
              <w:right w:val="single" w:color="000000" w:sz="6" w:space="0"/>
            </w:tcBorders>
            <w:shd w:val="clear"/>
            <w:vAlign w:val="center"/>
          </w:tcPr>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89" w:type="dxa"/>
            <w:tcBorders>
              <w:top w:val="single" w:color="000000" w:sz="6" w:space="0"/>
              <w:left w:val="single" w:color="000000" w:sz="6" w:space="0"/>
              <w:bottom w:val="single" w:color="000000" w:sz="6" w:space="0"/>
              <w:right w:val="single" w:color="000000" w:sz="6" w:space="0"/>
            </w:tcBorders>
            <w:shd w:val="clear"/>
            <w:vAlign w:val="center"/>
          </w:tcPr>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89"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80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061"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318"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54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3504" w:type="dxa"/>
            <w:tcBorders>
              <w:top w:val="single" w:color="000000" w:sz="6" w:space="0"/>
              <w:left w:val="single" w:color="000000" w:sz="6" w:space="0"/>
              <w:bottom w:val="single" w:color="000000" w:sz="6" w:space="0"/>
              <w:right w:val="single" w:color="000000" w:sz="6" w:space="0"/>
            </w:tcBorders>
            <w:shd w:val="clear"/>
            <w:vAlign w:val="center"/>
          </w:tcPr>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tc>
        <w:tc>
          <w:tcPr>
            <w:tcW w:w="289" w:type="dxa"/>
            <w:tcBorders>
              <w:top w:val="single" w:color="000000" w:sz="6" w:space="0"/>
              <w:left w:val="single" w:color="000000" w:sz="6" w:space="0"/>
              <w:bottom w:val="single" w:color="000000" w:sz="6" w:space="0"/>
              <w:right w:val="single" w:color="000000" w:sz="6" w:space="0"/>
            </w:tcBorders>
            <w:shd w:val="clear"/>
            <w:vAlign w:val="center"/>
          </w:tcPr>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89" w:type="dxa"/>
            <w:tcBorders>
              <w:top w:val="single" w:color="000000" w:sz="6" w:space="0"/>
              <w:left w:val="single" w:color="000000" w:sz="6" w:space="0"/>
              <w:bottom w:val="single" w:color="000000" w:sz="6" w:space="0"/>
              <w:right w:val="single" w:color="000000" w:sz="6" w:space="0"/>
            </w:tcBorders>
            <w:shd w:val="clear"/>
            <w:vAlign w:val="center"/>
          </w:tcPr>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89"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80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061"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318"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54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3504" w:type="dxa"/>
            <w:tcBorders>
              <w:top w:val="single" w:color="000000" w:sz="6" w:space="0"/>
              <w:left w:val="single" w:color="000000" w:sz="6" w:space="0"/>
              <w:bottom w:val="single" w:color="000000" w:sz="6" w:space="0"/>
              <w:right w:val="single" w:color="000000" w:sz="6" w:space="0"/>
            </w:tcBorders>
            <w:shd w:val="clear"/>
            <w:vAlign w:val="center"/>
          </w:tcPr>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tc>
        <w:tc>
          <w:tcPr>
            <w:tcW w:w="289" w:type="dxa"/>
            <w:tcBorders>
              <w:top w:val="single" w:color="000000" w:sz="6" w:space="0"/>
              <w:left w:val="single" w:color="000000" w:sz="6" w:space="0"/>
              <w:bottom w:val="single" w:color="000000" w:sz="6" w:space="0"/>
              <w:right w:val="single" w:color="000000" w:sz="6" w:space="0"/>
            </w:tcBorders>
            <w:shd w:val="clear"/>
            <w:vAlign w:val="center"/>
          </w:tcPr>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89" w:type="dxa"/>
            <w:tcBorders>
              <w:top w:val="single" w:color="000000" w:sz="6" w:space="0"/>
              <w:left w:val="single" w:color="000000" w:sz="6" w:space="0"/>
              <w:bottom w:val="single" w:color="000000" w:sz="6" w:space="0"/>
              <w:right w:val="single" w:color="000000" w:sz="6" w:space="0"/>
            </w:tcBorders>
            <w:shd w:val="clear"/>
            <w:vAlign w:val="center"/>
          </w:tcPr>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89"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804"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p>
        </w:tc>
        <w:tc>
          <w:tcPr>
            <w:tcW w:w="1061"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货币</w:t>
            </w:r>
          </w:p>
        </w:tc>
        <w:tc>
          <w:tcPr>
            <w:tcW w:w="1318"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46"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504" w:type="dxa"/>
            <w:tcBorders>
              <w:top w:val="single" w:color="000000" w:sz="6" w:space="0"/>
              <w:left w:val="single" w:color="000000" w:sz="6" w:space="0"/>
              <w:bottom w:val="single" w:color="000000" w:sz="6" w:space="0"/>
              <w:right w:val="single" w:color="000000" w:sz="6" w:space="0"/>
            </w:tcBorders>
            <w:shd w:val="clear"/>
            <w:vAlign w:val="center"/>
          </w:tcPr>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tc>
        <w:tc>
          <w:tcPr>
            <w:tcW w:w="289" w:type="dxa"/>
            <w:tcBorders>
              <w:top w:val="single" w:color="000000" w:sz="6" w:space="0"/>
              <w:left w:val="single" w:color="000000" w:sz="6" w:space="0"/>
              <w:bottom w:val="single" w:color="000000" w:sz="6" w:space="0"/>
              <w:right w:val="single" w:color="000000" w:sz="6" w:space="0"/>
            </w:tcBorders>
            <w:shd w:val="clear"/>
            <w:vAlign w:val="center"/>
          </w:tcPr>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89" w:type="dxa"/>
            <w:tcBorders>
              <w:top w:val="single" w:color="000000" w:sz="6" w:space="0"/>
              <w:left w:val="single" w:color="000000" w:sz="6" w:space="0"/>
              <w:bottom w:val="single" w:color="000000" w:sz="6" w:space="0"/>
              <w:right w:val="single" w:color="000000" w:sz="6" w:space="0"/>
            </w:tcBorders>
            <w:shd w:val="clear"/>
            <w:vAlign w:val="center"/>
          </w:tcPr>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89"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80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061"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318"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54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3504" w:type="dxa"/>
            <w:tcBorders>
              <w:top w:val="single" w:color="000000" w:sz="6" w:space="0"/>
              <w:left w:val="single" w:color="000000" w:sz="6" w:space="0"/>
              <w:bottom w:val="single" w:color="000000" w:sz="6" w:space="0"/>
              <w:right w:val="single" w:color="000000" w:sz="6" w:space="0"/>
            </w:tcBorders>
            <w:shd w:val="clear"/>
            <w:vAlign w:val="center"/>
          </w:tcPr>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tc>
        <w:tc>
          <w:tcPr>
            <w:tcW w:w="289" w:type="dxa"/>
            <w:tcBorders>
              <w:top w:val="single" w:color="000000" w:sz="6" w:space="0"/>
              <w:left w:val="single" w:color="000000" w:sz="6" w:space="0"/>
              <w:bottom w:val="single" w:color="000000" w:sz="6" w:space="0"/>
              <w:right w:val="single" w:color="000000" w:sz="6" w:space="0"/>
            </w:tcBorders>
            <w:shd w:val="clear"/>
            <w:vAlign w:val="center"/>
          </w:tcPr>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89" w:type="dxa"/>
            <w:tcBorders>
              <w:top w:val="single" w:color="000000" w:sz="6" w:space="0"/>
              <w:left w:val="single" w:color="000000" w:sz="6" w:space="0"/>
              <w:bottom w:val="single" w:color="000000" w:sz="6" w:space="0"/>
              <w:right w:val="single" w:color="000000" w:sz="6" w:space="0"/>
            </w:tcBorders>
            <w:shd w:val="clear"/>
            <w:vAlign w:val="center"/>
          </w:tcPr>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89"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80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061"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318"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54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3504" w:type="dxa"/>
            <w:tcBorders>
              <w:top w:val="single" w:color="000000" w:sz="6" w:space="0"/>
              <w:left w:val="single" w:color="000000" w:sz="6" w:space="0"/>
              <w:bottom w:val="single" w:color="000000" w:sz="6" w:space="0"/>
              <w:right w:val="single" w:color="000000" w:sz="6" w:space="0"/>
            </w:tcBorders>
            <w:shd w:val="clear"/>
            <w:vAlign w:val="center"/>
          </w:tcPr>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tc>
        <w:tc>
          <w:tcPr>
            <w:tcW w:w="289" w:type="dxa"/>
            <w:tcBorders>
              <w:top w:val="single" w:color="000000" w:sz="6" w:space="0"/>
              <w:left w:val="single" w:color="000000" w:sz="6" w:space="0"/>
              <w:bottom w:val="single" w:color="000000" w:sz="6" w:space="0"/>
              <w:right w:val="single" w:color="000000" w:sz="6" w:space="0"/>
            </w:tcBorders>
            <w:shd w:val="clear"/>
            <w:vAlign w:val="center"/>
          </w:tcPr>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89" w:type="dxa"/>
            <w:tcBorders>
              <w:top w:val="single" w:color="000000" w:sz="6" w:space="0"/>
              <w:left w:val="single" w:color="000000" w:sz="6" w:space="0"/>
              <w:bottom w:val="single" w:color="000000" w:sz="6" w:space="0"/>
              <w:right w:val="single" w:color="000000" w:sz="6" w:space="0"/>
            </w:tcBorders>
            <w:shd w:val="clear"/>
            <w:vAlign w:val="center"/>
          </w:tcPr>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89"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804"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丙方</w:t>
            </w:r>
          </w:p>
        </w:tc>
        <w:tc>
          <w:tcPr>
            <w:tcW w:w="1061"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货币</w:t>
            </w:r>
          </w:p>
        </w:tc>
        <w:tc>
          <w:tcPr>
            <w:tcW w:w="1318"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46"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504" w:type="dxa"/>
            <w:tcBorders>
              <w:top w:val="single" w:color="000000" w:sz="6" w:space="0"/>
              <w:left w:val="single" w:color="000000" w:sz="6" w:space="0"/>
              <w:bottom w:val="single" w:color="000000" w:sz="6" w:space="0"/>
              <w:right w:val="single" w:color="000000" w:sz="6" w:space="0"/>
            </w:tcBorders>
            <w:shd w:val="clear"/>
            <w:vAlign w:val="center"/>
          </w:tcPr>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tc>
        <w:tc>
          <w:tcPr>
            <w:tcW w:w="289" w:type="dxa"/>
            <w:tcBorders>
              <w:top w:val="single" w:color="000000" w:sz="6" w:space="0"/>
              <w:left w:val="single" w:color="000000" w:sz="6" w:space="0"/>
              <w:bottom w:val="single" w:color="000000" w:sz="6" w:space="0"/>
              <w:right w:val="single" w:color="000000" w:sz="6" w:space="0"/>
            </w:tcBorders>
            <w:shd w:val="clear"/>
            <w:vAlign w:val="center"/>
          </w:tcPr>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89" w:type="dxa"/>
            <w:tcBorders>
              <w:top w:val="single" w:color="000000" w:sz="6" w:space="0"/>
              <w:left w:val="single" w:color="000000" w:sz="6" w:space="0"/>
              <w:bottom w:val="single" w:color="000000" w:sz="6" w:space="0"/>
              <w:right w:val="single" w:color="000000" w:sz="6" w:space="0"/>
            </w:tcBorders>
            <w:shd w:val="clear"/>
            <w:vAlign w:val="center"/>
          </w:tcPr>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89"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80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061"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318"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54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3504" w:type="dxa"/>
            <w:tcBorders>
              <w:top w:val="single" w:color="000000" w:sz="6" w:space="0"/>
              <w:left w:val="single" w:color="000000" w:sz="6" w:space="0"/>
              <w:bottom w:val="single" w:color="000000" w:sz="6" w:space="0"/>
              <w:right w:val="single" w:color="000000" w:sz="6" w:space="0"/>
            </w:tcBorders>
            <w:shd w:val="clear"/>
            <w:vAlign w:val="center"/>
          </w:tcPr>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tc>
        <w:tc>
          <w:tcPr>
            <w:tcW w:w="289" w:type="dxa"/>
            <w:tcBorders>
              <w:top w:val="single" w:color="000000" w:sz="6" w:space="0"/>
              <w:left w:val="single" w:color="000000" w:sz="6" w:space="0"/>
              <w:bottom w:val="single" w:color="000000" w:sz="6" w:space="0"/>
              <w:right w:val="single" w:color="000000" w:sz="6" w:space="0"/>
            </w:tcBorders>
            <w:shd w:val="clear"/>
            <w:vAlign w:val="center"/>
          </w:tcPr>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89" w:type="dxa"/>
            <w:tcBorders>
              <w:top w:val="single" w:color="000000" w:sz="6" w:space="0"/>
              <w:left w:val="single" w:color="000000" w:sz="6" w:space="0"/>
              <w:bottom w:val="single" w:color="000000" w:sz="6" w:space="0"/>
              <w:right w:val="single" w:color="000000" w:sz="6" w:space="0"/>
            </w:tcBorders>
            <w:shd w:val="clear"/>
            <w:vAlign w:val="center"/>
          </w:tcPr>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89"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80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061"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318"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54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3504" w:type="dxa"/>
            <w:tcBorders>
              <w:top w:val="single" w:color="000000" w:sz="6" w:space="0"/>
              <w:left w:val="single" w:color="000000" w:sz="6" w:space="0"/>
              <w:bottom w:val="single" w:color="000000" w:sz="6" w:space="0"/>
              <w:right w:val="single" w:color="000000" w:sz="6" w:space="0"/>
            </w:tcBorders>
            <w:shd w:val="clear"/>
            <w:vAlign w:val="center"/>
          </w:tcPr>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tc>
        <w:tc>
          <w:tcPr>
            <w:tcW w:w="289" w:type="dxa"/>
            <w:tcBorders>
              <w:top w:val="single" w:color="000000" w:sz="6" w:space="0"/>
              <w:left w:val="single" w:color="000000" w:sz="6" w:space="0"/>
              <w:bottom w:val="single" w:color="000000" w:sz="6" w:space="0"/>
              <w:right w:val="single" w:color="000000" w:sz="6" w:space="0"/>
            </w:tcBorders>
            <w:shd w:val="clear"/>
            <w:vAlign w:val="center"/>
          </w:tcPr>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89" w:type="dxa"/>
            <w:tcBorders>
              <w:top w:val="single" w:color="000000" w:sz="6" w:space="0"/>
              <w:left w:val="single" w:color="000000" w:sz="6" w:space="0"/>
              <w:bottom w:val="single" w:color="000000" w:sz="6" w:space="0"/>
              <w:right w:val="single" w:color="000000" w:sz="6" w:space="0"/>
            </w:tcBorders>
            <w:shd w:val="clear"/>
            <w:vAlign w:val="center"/>
          </w:tcPr>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89"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804" w:type="dxa"/>
            <w:tcBorders>
              <w:top w:val="single" w:color="000000" w:sz="6" w:space="0"/>
              <w:left w:val="single" w:color="000000" w:sz="6" w:space="0"/>
              <w:bottom w:val="single" w:color="000000" w:sz="6" w:space="0"/>
              <w:right w:val="single" w:color="000000" w:sz="6" w:space="0"/>
            </w:tcBorders>
            <w:shd w:val="clear"/>
            <w:vAlign w:val="center"/>
          </w:tcPr>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合计</w:t>
            </w:r>
          </w:p>
        </w:tc>
        <w:tc>
          <w:tcPr>
            <w:tcW w:w="1061" w:type="dxa"/>
            <w:tcBorders>
              <w:top w:val="single" w:color="000000" w:sz="6" w:space="0"/>
              <w:left w:val="single" w:color="000000" w:sz="6" w:space="0"/>
              <w:bottom w:val="single" w:color="000000" w:sz="6" w:space="0"/>
              <w:right w:val="single" w:color="000000" w:sz="6" w:space="0"/>
            </w:tcBorders>
            <w:shd w:val="clear"/>
            <w:vAlign w:val="center"/>
          </w:tcPr>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18" w:type="dxa"/>
            <w:tcBorders>
              <w:top w:val="single" w:color="000000" w:sz="6" w:space="0"/>
              <w:left w:val="single" w:color="000000" w:sz="6" w:space="0"/>
              <w:bottom w:val="single" w:color="000000" w:sz="6" w:space="0"/>
              <w:right w:val="single" w:color="000000" w:sz="6" w:space="0"/>
            </w:tcBorders>
            <w:shd w:val="clear"/>
            <w:vAlign w:val="center"/>
          </w:tcPr>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46" w:type="dxa"/>
            <w:tcBorders>
              <w:top w:val="single" w:color="000000" w:sz="6" w:space="0"/>
              <w:left w:val="single" w:color="000000" w:sz="6" w:space="0"/>
              <w:bottom w:val="single" w:color="000000" w:sz="6" w:space="0"/>
              <w:right w:val="single" w:color="000000" w:sz="6" w:space="0"/>
            </w:tcBorders>
            <w:shd w:val="clear"/>
            <w:vAlign w:val="center"/>
          </w:tcPr>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c>
          <w:tcPr>
            <w:tcW w:w="4082" w:type="dxa"/>
            <w:gridSpan w:val="3"/>
            <w:tcBorders>
              <w:top w:val="single" w:color="000000" w:sz="6" w:space="0"/>
              <w:left w:val="single" w:color="000000" w:sz="6" w:space="0"/>
              <w:bottom w:val="single" w:color="000000" w:sz="6" w:space="0"/>
              <w:right w:val="single" w:color="000000" w:sz="6" w:space="0"/>
            </w:tcBorders>
            <w:shd w:val="clear"/>
            <w:vAlign w:val="center"/>
          </w:tcPr>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c>
          <w:tcPr>
            <w:tcW w:w="1189" w:type="dxa"/>
            <w:tcBorders>
              <w:top w:val="single" w:color="000000" w:sz="6" w:space="0"/>
              <w:left w:val="single" w:color="000000" w:sz="6" w:space="0"/>
              <w:bottom w:val="single" w:color="000000" w:sz="6" w:space="0"/>
              <w:right w:val="single" w:color="000000" w:sz="6" w:space="0"/>
            </w:tcBorders>
            <w:shd w:val="clear"/>
            <w:vAlign w:val="center"/>
          </w:tcPr>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100</w:t>
            </w:r>
          </w:p>
        </w:tc>
      </w:tr>
    </w:tbl>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各方应当按时足额缴纳各自所认缴的出资额。股东应当在出资期限届满前将货币出资足额存入公司在银行开设的账户。</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公司成立后，公司应当按照各方实缴注册资本向各方签发《出资证明书》，同时公司置备股东名册记载各方出资额、出资方式、出资期限等信息。</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 任何一方不按照前款规定缴纳出资的，除应当向公司足额缴纳外，还应当向已按期足额缴纳出资的股东承担相当于到期未缴纳出资额的</w:t>
      </w:r>
      <w:r>
        <w:rPr>
          <w:rFonts w:hint="eastAsia" w:ascii="宋体" w:hAnsi="宋体" w:eastAsia="宋体" w:cs="宋体"/>
          <w:sz w:val="24"/>
          <w:szCs w:val="24"/>
          <w:u w:val="single"/>
        </w:rPr>
        <w:t>    </w:t>
      </w:r>
      <w:r>
        <w:rPr>
          <w:rFonts w:hint="eastAsia" w:ascii="宋体" w:hAnsi="宋体" w:eastAsia="宋体" w:cs="宋体"/>
          <w:sz w:val="24"/>
          <w:szCs w:val="24"/>
        </w:rPr>
        <w:t>%的违约金。上述违约金在及时足额缴纳出资的股东之间按实缴出资比例分配。</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6"/>
          <w:rFonts w:hint="eastAsia" w:ascii="宋体" w:hAnsi="宋体" w:eastAsia="宋体" w:cs="宋体"/>
          <w:b/>
          <w:sz w:val="24"/>
          <w:szCs w:val="24"/>
        </w:rPr>
        <w:t>第3条 公司治理</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公司设股东会、执行董事和监事，按照《公司法》和公司章程的相关规定行使职权。</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公司股东会由甲乙丙三方组成，按认缴出资比例行使表决权。</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公司不设董事会，设执行董事一名。执行董事由股东会选举产生，并兼任公司的总经理及法定代表人。</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公司不设监事会，设监事一名，由股东会在</w:t>
      </w:r>
      <w:r>
        <w:rPr>
          <w:rFonts w:hint="eastAsia" w:ascii="宋体" w:hAnsi="宋体" w:eastAsia="宋体" w:cs="宋体"/>
          <w:sz w:val="24"/>
          <w:szCs w:val="24"/>
          <w:u w:val="single"/>
        </w:rPr>
        <w:t>    </w:t>
      </w:r>
      <w:r>
        <w:rPr>
          <w:rFonts w:hint="eastAsia" w:ascii="宋体" w:hAnsi="宋体" w:eastAsia="宋体" w:cs="宋体"/>
          <w:sz w:val="24"/>
          <w:szCs w:val="24"/>
        </w:rPr>
        <w:t>方提名的人选中选举产生。</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 执行董事、监事的任期均为三年，可连选连任。</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6"/>
          <w:rFonts w:hint="eastAsia" w:ascii="宋体" w:hAnsi="宋体" w:eastAsia="宋体" w:cs="宋体"/>
          <w:b/>
          <w:sz w:val="24"/>
          <w:szCs w:val="24"/>
        </w:rPr>
        <w:t>第4条 利润分配</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公司依法提取公积金后所余的税后利润，由股东按实缴出资比例分配。</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6"/>
          <w:rFonts w:hint="eastAsia" w:ascii="宋体" w:hAnsi="宋体" w:eastAsia="宋体" w:cs="宋体"/>
          <w:b/>
          <w:sz w:val="24"/>
          <w:szCs w:val="24"/>
        </w:rPr>
        <w:t>第5条 公司登记</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各方同意，指定</w:t>
      </w:r>
      <w:r>
        <w:rPr>
          <w:rFonts w:hint="eastAsia" w:ascii="宋体" w:hAnsi="宋体" w:eastAsia="宋体" w:cs="宋体"/>
          <w:sz w:val="24"/>
          <w:szCs w:val="24"/>
          <w:u w:val="single"/>
        </w:rPr>
        <w:t>    </w:t>
      </w:r>
      <w:r>
        <w:rPr>
          <w:rFonts w:hint="eastAsia" w:ascii="宋体" w:hAnsi="宋体" w:eastAsia="宋体" w:cs="宋体"/>
          <w:sz w:val="24"/>
          <w:szCs w:val="24"/>
        </w:rPr>
        <w:t>方为代表，负责办理公司名称预核准及公司设立登记事宜。</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6"/>
          <w:rFonts w:hint="eastAsia" w:ascii="宋体" w:hAnsi="宋体" w:eastAsia="宋体" w:cs="宋体"/>
          <w:b/>
          <w:sz w:val="24"/>
          <w:szCs w:val="24"/>
        </w:rPr>
        <w:t>第6条 责任承担</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各方以各自的认缴出资额为限对公司承担责任，公司以全部资产对外承担责任。</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6"/>
          <w:rFonts w:hint="eastAsia" w:ascii="宋体" w:hAnsi="宋体" w:eastAsia="宋体" w:cs="宋体"/>
          <w:b/>
          <w:sz w:val="24"/>
          <w:szCs w:val="24"/>
        </w:rPr>
        <w:t>第7条 费用承担</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公司设立登记后，设立公司所发生的全部费用列入公司的开办费用，由公司承担。</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非因本协议各方的原因导致公司不能设立的，所发生的全部费用由本协议各方按认缴的出资比例分担。</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任何一方未按照本协议约定的数额和期限缴纳出资（包括缴纳货币出资及办理非货币出资的评估、过户及移交手续），导致公司不能设立的，该当事方应当承担因设立公司所发生的全部费用。</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6"/>
          <w:rFonts w:hint="eastAsia" w:ascii="宋体" w:hAnsi="宋体" w:eastAsia="宋体" w:cs="宋体"/>
          <w:b/>
          <w:sz w:val="24"/>
          <w:szCs w:val="24"/>
        </w:rPr>
        <w:t>第8条 争议解决</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本协议在履行过程中发生的争议，由各方协商解决，协商不成的，任何一方依法向公司注册地（未设立时的拟注册地）人民法院起诉。</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6"/>
          <w:rFonts w:hint="eastAsia" w:ascii="宋体" w:hAnsi="宋体" w:eastAsia="宋体" w:cs="宋体"/>
          <w:b/>
          <w:sz w:val="24"/>
          <w:szCs w:val="24"/>
        </w:rPr>
        <w:t>第9条 其他</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本协议自协议各方签字且盖章之日生效。</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本协议在公司成立之后持续有效。公司章程与本协议约定不一致的，以本协议的约定为准。</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本协议一式</w:t>
      </w:r>
      <w:r>
        <w:rPr>
          <w:rFonts w:hint="eastAsia" w:ascii="宋体" w:hAnsi="宋体" w:eastAsia="宋体" w:cs="宋体"/>
          <w:sz w:val="24"/>
          <w:szCs w:val="24"/>
          <w:u w:val="single"/>
        </w:rPr>
        <w:t>    </w:t>
      </w:r>
      <w:r>
        <w:rPr>
          <w:rFonts w:hint="eastAsia" w:ascii="宋体" w:hAnsi="宋体" w:eastAsia="宋体" w:cs="宋体"/>
          <w:sz w:val="24"/>
          <w:szCs w:val="24"/>
        </w:rPr>
        <w:t>份，各方各执一份，具有同等法律效力。</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6"/>
          <w:rFonts w:hint="eastAsia" w:ascii="宋体" w:hAnsi="宋体" w:eastAsia="宋体" w:cs="宋体"/>
          <w:b/>
          <w:sz w:val="24"/>
          <w:szCs w:val="24"/>
        </w:rPr>
        <w:t>甲方（盖章）：</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6"/>
          <w:rFonts w:hint="eastAsia" w:ascii="宋体" w:hAnsi="宋体" w:eastAsia="宋体" w:cs="宋体"/>
          <w:b/>
          <w:sz w:val="24"/>
          <w:szCs w:val="24"/>
        </w:rPr>
        <w:t>乙方（盖章）：</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6"/>
          <w:rFonts w:hint="eastAsia" w:ascii="宋体" w:hAnsi="宋体" w:eastAsia="宋体" w:cs="宋体"/>
          <w:b/>
          <w:sz w:val="24"/>
          <w:szCs w:val="24"/>
        </w:rPr>
        <w:t>丙方（盖章）：</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default" w:eastAsiaTheme="minor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36610D2"/>
    <w:rsid w:val="136610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82</TotalTime>
  <ScaleCrop>false</ScaleCrop>
  <LinksUpToDate>false</LinksUpToDate>
  <CharactersWithSpaces>0</CharactersWithSpaces>
  <Application>WPS Office_11.1.0.9069_F1E327BC-269C-435d-A152-05C5408002CA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2019-09-25T08:05:00Z</dcterms:created>
  <dc:creator>Administrator</dc:creator>
  <cp:lastModifiedBy>Administrator</cp:lastModifiedBy>
  <dcterms:modified xsi:type="dcterms:W3CDTF">2019-09-25T09:28:29Z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2052-11.1.0.9069</vt:lpwstr>
  </property>
</Properties>
</file>