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铁矿粉</w:t>
      </w:r>
      <w:r>
        <w:rPr>
          <w:rFonts w:hint="default" w:cs="宋体"/>
          <w:b/>
          <w:sz w:val="32"/>
          <w:szCs w:val="32"/>
        </w:rPr>
        <w:t>买卖</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买受方（简称“甲方”）：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出卖方（简称“乙方”）：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根据《中华人民共和国民法典》及相关法律、法规的规定，甲乙双方经友好协商，本着平等自愿、公平互利的原则，就甲方购买乙方铁矿粉事宜达成以下合同条款：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品名及指标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品名：铁矿粉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技术指标：Fe</w:t>
      </w:r>
      <w:r>
        <w:rPr>
          <w:rFonts w:hint="eastAsia" w:ascii="宋体" w:hAnsi="宋体" w:eastAsia="宋体" w:cs="宋体"/>
          <w:sz w:val="24"/>
          <w:szCs w:val="24"/>
          <w:u w:val="single"/>
        </w:rPr>
        <w:t>    </w:t>
      </w:r>
      <w:r>
        <w:rPr>
          <w:rFonts w:hint="eastAsia" w:ascii="宋体" w:hAnsi="宋体" w:eastAsia="宋体" w:cs="宋体"/>
          <w:sz w:val="24"/>
          <w:szCs w:val="24"/>
        </w:rPr>
        <w:t>%（最小）；水份：</w:t>
      </w:r>
      <w:r>
        <w:rPr>
          <w:rFonts w:hint="eastAsia" w:ascii="宋体" w:hAnsi="宋体" w:eastAsia="宋体" w:cs="宋体"/>
          <w:sz w:val="24"/>
          <w:szCs w:val="24"/>
          <w:u w:val="single"/>
        </w:rPr>
        <w:t>    </w:t>
      </w:r>
      <w:r>
        <w:rPr>
          <w:rFonts w:hint="eastAsia" w:ascii="宋体" w:hAnsi="宋体" w:eastAsia="宋体" w:cs="宋体"/>
          <w:sz w:val="24"/>
          <w:szCs w:val="24"/>
        </w:rPr>
        <w:t>%（最大）。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吨（+/-10%）。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交货期限、地点与发运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交货期限：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交货地点：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货物发运：由买方以书面形式指定提货人自提。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价格及调整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单价：人民币</w:t>
      </w:r>
      <w:r>
        <w:rPr>
          <w:rFonts w:hint="eastAsia" w:ascii="宋体" w:hAnsi="宋体" w:eastAsia="宋体" w:cs="宋体"/>
          <w:sz w:val="24"/>
          <w:szCs w:val="24"/>
          <w:u w:val="single"/>
        </w:rPr>
        <w:t>    </w:t>
      </w:r>
      <w:r>
        <w:rPr>
          <w:rFonts w:hint="eastAsia" w:ascii="宋体" w:hAnsi="宋体" w:eastAsia="宋体" w:cs="宋体"/>
          <w:sz w:val="24"/>
          <w:szCs w:val="24"/>
        </w:rPr>
        <w:t>吨，开票干基单价（</w:t>
      </w:r>
      <w:r>
        <w:rPr>
          <w:rFonts w:hint="eastAsia" w:ascii="宋体" w:hAnsi="宋体" w:eastAsia="宋体" w:cs="宋体"/>
          <w:sz w:val="24"/>
          <w:szCs w:val="24"/>
          <w:u w:val="single"/>
        </w:rPr>
        <w:t>    </w:t>
      </w:r>
      <w:r>
        <w:rPr>
          <w:rFonts w:hint="eastAsia" w:ascii="宋体" w:hAnsi="宋体" w:eastAsia="宋体" w:cs="宋体"/>
          <w:sz w:val="24"/>
          <w:szCs w:val="24"/>
        </w:rPr>
        <w:t>+10%）</w:t>
      </w:r>
      <w:r>
        <w:rPr>
          <w:rFonts w:hint="eastAsia" w:ascii="宋体" w:hAnsi="宋体" w:eastAsia="宋体" w:cs="宋体"/>
          <w:sz w:val="24"/>
          <w:szCs w:val="24"/>
          <w:u w:val="single"/>
        </w:rPr>
        <w:t>    </w:t>
      </w:r>
      <w:r>
        <w:rPr>
          <w:rFonts w:hint="eastAsia" w:ascii="宋体" w:hAnsi="宋体" w:eastAsia="宋体" w:cs="宋体"/>
          <w:sz w:val="24"/>
          <w:szCs w:val="24"/>
        </w:rPr>
        <w:t>元/吨。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价格调整：品位高于</w:t>
      </w:r>
      <w:r>
        <w:rPr>
          <w:rFonts w:hint="eastAsia" w:ascii="宋体" w:hAnsi="宋体" w:eastAsia="宋体" w:cs="宋体"/>
          <w:sz w:val="24"/>
          <w:szCs w:val="24"/>
          <w:u w:val="single"/>
        </w:rPr>
        <w:t>    </w:t>
      </w:r>
      <w:r>
        <w:rPr>
          <w:rFonts w:hint="eastAsia" w:ascii="宋体" w:hAnsi="宋体" w:eastAsia="宋体" w:cs="宋体"/>
          <w:sz w:val="24"/>
          <w:szCs w:val="24"/>
        </w:rPr>
        <w:t>%，按</w:t>
      </w:r>
      <w:r>
        <w:rPr>
          <w:rFonts w:hint="eastAsia" w:ascii="宋体" w:hAnsi="宋体" w:eastAsia="宋体" w:cs="宋体"/>
          <w:sz w:val="24"/>
          <w:szCs w:val="24"/>
          <w:u w:val="single"/>
        </w:rPr>
        <w:t>    </w:t>
      </w:r>
      <w:r>
        <w:rPr>
          <w:rFonts w:hint="eastAsia" w:ascii="宋体" w:hAnsi="宋体" w:eastAsia="宋体" w:cs="宋体"/>
          <w:sz w:val="24"/>
          <w:szCs w:val="24"/>
        </w:rPr>
        <w:t>%以</w:t>
      </w:r>
      <w:r>
        <w:rPr>
          <w:rFonts w:hint="eastAsia" w:ascii="宋体" w:hAnsi="宋体" w:eastAsia="宋体" w:cs="宋体"/>
          <w:sz w:val="24"/>
          <w:szCs w:val="24"/>
          <w:u w:val="single"/>
        </w:rPr>
        <w:t>    </w:t>
      </w:r>
      <w:r>
        <w:rPr>
          <w:rFonts w:hint="eastAsia" w:ascii="宋体" w:hAnsi="宋体" w:eastAsia="宋体" w:cs="宋体"/>
          <w:sz w:val="24"/>
          <w:szCs w:val="24"/>
        </w:rPr>
        <w:t>元/吨的比例奖励，低于</w:t>
      </w:r>
      <w:r>
        <w:rPr>
          <w:rFonts w:hint="eastAsia" w:ascii="宋体" w:hAnsi="宋体" w:eastAsia="宋体" w:cs="宋体"/>
          <w:sz w:val="24"/>
          <w:szCs w:val="24"/>
          <w:u w:val="single"/>
        </w:rPr>
        <w:t>    </w:t>
      </w:r>
      <w:r>
        <w:rPr>
          <w:rFonts w:hint="eastAsia" w:ascii="宋体" w:hAnsi="宋体" w:eastAsia="宋体" w:cs="宋体"/>
          <w:sz w:val="24"/>
          <w:szCs w:val="24"/>
        </w:rPr>
        <w:t>%，按每</w:t>
      </w:r>
      <w:r>
        <w:rPr>
          <w:rFonts w:hint="eastAsia" w:ascii="宋体" w:hAnsi="宋体" w:eastAsia="宋体" w:cs="宋体"/>
          <w:sz w:val="24"/>
          <w:szCs w:val="24"/>
          <w:u w:val="single"/>
        </w:rPr>
        <w:t>    </w:t>
      </w:r>
      <w:r>
        <w:rPr>
          <w:rFonts w:hint="eastAsia" w:ascii="宋体" w:hAnsi="宋体" w:eastAsia="宋体" w:cs="宋体"/>
          <w:sz w:val="24"/>
          <w:szCs w:val="24"/>
        </w:rPr>
        <w:t>%以</w:t>
      </w:r>
      <w:r>
        <w:rPr>
          <w:rFonts w:hint="eastAsia" w:ascii="宋体" w:hAnsi="宋体" w:eastAsia="宋体" w:cs="宋体"/>
          <w:sz w:val="24"/>
          <w:szCs w:val="24"/>
          <w:u w:val="single"/>
        </w:rPr>
        <w:t>    </w:t>
      </w:r>
      <w:r>
        <w:rPr>
          <w:rFonts w:hint="eastAsia" w:ascii="宋体" w:hAnsi="宋体" w:eastAsia="宋体" w:cs="宋体"/>
          <w:sz w:val="24"/>
          <w:szCs w:val="24"/>
        </w:rPr>
        <w:t>元/吨的比例惩罚，如品位低于</w:t>
      </w:r>
      <w:r>
        <w:rPr>
          <w:rFonts w:hint="eastAsia" w:ascii="宋体" w:hAnsi="宋体" w:eastAsia="宋体" w:cs="宋体"/>
          <w:sz w:val="24"/>
          <w:szCs w:val="24"/>
          <w:u w:val="single"/>
        </w:rPr>
        <w:t>    </w:t>
      </w:r>
      <w:r>
        <w:rPr>
          <w:rFonts w:hint="eastAsia" w:ascii="宋体" w:hAnsi="宋体" w:eastAsia="宋体" w:cs="宋体"/>
          <w:sz w:val="24"/>
          <w:szCs w:val="24"/>
        </w:rPr>
        <w:t>%，则买受方有权要求退款退货。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品质、数量及结算依据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质（理化）指标：提货时双方代表共同取样，每天制成一个均样，分为三等份，甲乙双方各保留一份，封存第三份作为公证样本；双方协商指定一家检验机构进行化验，如果此二份样的化验结果之差异在0.5%以内，最终结果以此二结果的平均值为准，如果其差异超过0.5%，双方共同执公证样在同一化验机构进行化验，其结果作为本合同项下双方所规定的品质标准的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付款和结算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在双方签订合同之日起</w:t>
      </w:r>
      <w:r>
        <w:rPr>
          <w:rFonts w:hint="eastAsia" w:ascii="宋体" w:hAnsi="宋体" w:eastAsia="宋体" w:cs="宋体"/>
          <w:sz w:val="24"/>
          <w:szCs w:val="24"/>
          <w:u w:val="single"/>
        </w:rPr>
        <w:t>    </w:t>
      </w:r>
      <w:r>
        <w:rPr>
          <w:rFonts w:hint="eastAsia" w:ascii="宋体" w:hAnsi="宋体" w:eastAsia="宋体" w:cs="宋体"/>
          <w:sz w:val="24"/>
          <w:szCs w:val="24"/>
        </w:rPr>
        <w:t>个工作日内，甲方须将全部货款汇至乙方指定的帐户；乙方在</w:t>
      </w:r>
      <w:r>
        <w:rPr>
          <w:rFonts w:hint="eastAsia" w:ascii="宋体" w:hAnsi="宋体" w:eastAsia="宋体" w:cs="宋体"/>
          <w:sz w:val="24"/>
          <w:szCs w:val="24"/>
          <w:u w:val="single"/>
        </w:rPr>
        <w:t>    </w:t>
      </w:r>
      <w:r>
        <w:rPr>
          <w:rFonts w:hint="eastAsia" w:ascii="宋体" w:hAnsi="宋体" w:eastAsia="宋体" w:cs="宋体"/>
          <w:sz w:val="24"/>
          <w:szCs w:val="24"/>
        </w:rPr>
        <w:t>个工作日内凭正本过磅单向甲方开具增值税发票，并进行货款结算。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合同双方一致同意任何一方具有下列任何情况之一项或多项即视为违约：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（1）未能或拒绝按照本合同约定，完全履行任何义务；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（2）无正当理由干涉、阻碍或以其它方式妨碍对方行使本合同约定的权利；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（3）违反约定主张权益；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（4）其他违反本合同条款的作为或因其不作为所造成的违约或既定事实。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一方违反本合同的规定，均构成违约，守约方有权立即要求终止本合同的履行并要求违约方按照守约方所遭受的实际经济损失承担相应赔偿责任。如双方各有违约行为，则根据责任的归属，按双方过错大小各自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如违约方的行为造成守约方经济及其他方面的损害，守约方可进一步向违约方追索。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任何一方由于不可抗力造成的部分或全部不能履行本合同义务的行为，将不视为违约，但应当在条件允许情况下采取一切必要补救措施以减少因不可抗力造成的损失。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日内将经由当地公证机关出具的证明文件或有关政府批文及合同不能履行或者需要延期履行的书面资料通知对方。不可抗力事件消除后，受影响方应尽快向对方发出有关“不可抗力事件”消除的通知。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本合同的订立、效力、变更、解释、履行、终止和由本合同产生或与本合同有关之争议的解决，均适用中华人民共和国法律。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本合同的附件为本合同不可分割的一部分；本合同及其附件内空格部分填写的文字与印刷文字具有同等法律效力。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本合同中未尽事宜或出现与本合同相关的其他事宜时，由双方协商解决并另行签订书面补充合同，补充合同与本合同具有同等的法律效力。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本合同自双方法定代表人或授权代表签字或盖章之日起生效。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996B29"/>
    <w:rsid w:val="20460F03"/>
    <w:rsid w:val="20D878D2"/>
    <w:rsid w:val="20E0631A"/>
    <w:rsid w:val="228D0680"/>
    <w:rsid w:val="241F48FC"/>
    <w:rsid w:val="24CC775C"/>
    <w:rsid w:val="250E1085"/>
    <w:rsid w:val="25C77597"/>
    <w:rsid w:val="263819DA"/>
    <w:rsid w:val="270F702A"/>
    <w:rsid w:val="28EB185D"/>
    <w:rsid w:val="28ED48FD"/>
    <w:rsid w:val="29EB1520"/>
    <w:rsid w:val="2B223ADD"/>
    <w:rsid w:val="2B6C6F7E"/>
    <w:rsid w:val="2C055EAD"/>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5F5973"/>
    <w:rsid w:val="41D15F60"/>
    <w:rsid w:val="426016E2"/>
    <w:rsid w:val="42EF6355"/>
    <w:rsid w:val="43B471E8"/>
    <w:rsid w:val="44603B10"/>
    <w:rsid w:val="464C40DB"/>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503D4AA8"/>
    <w:rsid w:val="507F4E96"/>
    <w:rsid w:val="5099338A"/>
    <w:rsid w:val="528D0C0C"/>
    <w:rsid w:val="52EF391F"/>
    <w:rsid w:val="54057D8A"/>
    <w:rsid w:val="549324CB"/>
    <w:rsid w:val="54E8288C"/>
    <w:rsid w:val="55CD1B11"/>
    <w:rsid w:val="57685E32"/>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9E0693D"/>
    <w:rsid w:val="6B701DBE"/>
    <w:rsid w:val="6BEF6B2D"/>
    <w:rsid w:val="6BFE1841"/>
    <w:rsid w:val="6C733900"/>
    <w:rsid w:val="6C7535D2"/>
    <w:rsid w:val="6CA00197"/>
    <w:rsid w:val="6DA42275"/>
    <w:rsid w:val="6DC34972"/>
    <w:rsid w:val="6ED73EAC"/>
    <w:rsid w:val="719F23FB"/>
    <w:rsid w:val="71CB6E1D"/>
    <w:rsid w:val="7219300A"/>
    <w:rsid w:val="725D19B0"/>
    <w:rsid w:val="72E64003"/>
    <w:rsid w:val="733A1569"/>
    <w:rsid w:val="73BD3548"/>
    <w:rsid w:val="75F70816"/>
    <w:rsid w:val="76F32022"/>
    <w:rsid w:val="77984E11"/>
    <w:rsid w:val="77F16684"/>
    <w:rsid w:val="7818293C"/>
    <w:rsid w:val="79241A3C"/>
    <w:rsid w:val="7A731FC3"/>
    <w:rsid w:val="7A753329"/>
    <w:rsid w:val="7ADF7CF3"/>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2020-03-26T16:14:16Z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