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lang w:eastAsia="zh-CN"/>
        </w:rPr>
      </w:pPr>
    </w:p>
    <w:p>
      <w:pPr>
        <w:pStyle w:val="5"/>
        <w:keepNext w:val="0"/>
        <w:keepLines w:val="0"/>
        <w:widowControl/>
        <w:suppressLineNumbers w:val="0"/>
        <w:spacing w:before="0" w:beforeAutospacing="0" w:after="0" w:afterAutospacing="0" w:line="360" w:lineRule="atLeast"/>
        <w:ind w:left="0" w:right="0"/>
        <w:jc w:val="right"/>
        <w:rPr>
          <w:rFonts w:ascii="宋体" w:hAnsi="宋体" w:eastAsia="宋体" w:cs="宋体"/>
          <w:sz w:val="24"/>
          <w:szCs w:val="24"/>
        </w:rPr>
      </w:pPr>
      <w:r>
        <w:rPr>
          <w:rFonts w:hint="eastAsia" w:ascii="宋体" w:hAnsi="宋体" w:eastAsia="宋体" w:cs="宋体"/>
          <w:sz w:val="24"/>
          <w:szCs w:val="24"/>
        </w:rPr>
        <w:t>合同编号：</w:t>
      </w:r>
      <w:r>
        <w:rPr>
          <w:rFonts w:hint="eastAsia" w:ascii="宋体" w:hAnsi="宋体" w:eastAsia="宋体" w:cs="宋体"/>
          <w:sz w:val="24"/>
          <w:szCs w:val="24"/>
          <w:u w:val="single"/>
        </w:rPr>
        <w:t>        </w:t>
      </w:r>
    </w:p>
    <w:p>
      <w:pPr>
        <w:pStyle w:val="2"/>
        <w:keepNext w:val="0"/>
        <w:keepLines w:val="0"/>
        <w:widowControl/>
        <w:suppressLineNumbers w:val="0"/>
        <w:jc w:val="center"/>
        <w:rPr>
          <w:rFonts w:hint="eastAsia" w:ascii="宋体" w:hAnsi="宋体" w:eastAsia="宋体" w:cs="宋体"/>
          <w:b/>
          <w:sz w:val="32"/>
          <w:szCs w:val="32"/>
        </w:rPr>
      </w:pPr>
      <w:r>
        <w:rPr>
          <w:rStyle w:val="8"/>
          <w:rFonts w:hint="default" w:cs="宋体"/>
          <w:b/>
          <w:sz w:val="32"/>
          <w:szCs w:val="32"/>
        </w:rPr>
        <w:t>瓷砖采购</w:t>
      </w:r>
      <w:bookmarkStart w:id="0" w:name="_GoBack"/>
      <w:bookmarkEnd w:id="0"/>
      <w:r>
        <w:rPr>
          <w:rStyle w:val="8"/>
          <w:rFonts w:hint="eastAsia" w:ascii="宋体" w:hAnsi="宋体" w:eastAsia="宋体" w:cs="宋体"/>
          <w:b/>
          <w:sz w:val="32"/>
          <w:szCs w:val="32"/>
        </w:rPr>
        <w:t>合同</w:t>
      </w:r>
    </w:p>
    <w:p>
      <w:pPr>
        <w:pStyle w:val="5"/>
        <w:keepNext w:val="0"/>
        <w:keepLines w:val="0"/>
        <w:widowControl/>
        <w:suppressLineNumbers w:val="0"/>
        <w:spacing w:before="0" w:beforeAutospacing="0" w:after="0" w:afterAutospacing="0" w:line="360" w:lineRule="atLeast"/>
        <w:ind w:left="0" w:right="0"/>
        <w:rPr>
          <w:rStyle w:val="8"/>
          <w:rFonts w:hint="default" w:ascii="宋体" w:hAnsi="宋体" w:eastAsia="宋体" w:cs="宋体"/>
          <w:b/>
          <w:sz w:val="24"/>
          <w:szCs w:val="24"/>
        </w:rPr>
      </w:pPr>
      <w:r>
        <w:rPr>
          <w:rStyle w:val="8"/>
          <w:rFonts w:hint="eastAsia" w:ascii="宋体" w:hAnsi="宋体" w:eastAsia="宋体" w:cs="宋体"/>
          <w:b/>
          <w:sz w:val="24"/>
          <w:szCs w:val="24"/>
        </w:rPr>
        <w:t>甲方（卖</w:t>
      </w:r>
      <w:r>
        <w:rPr>
          <w:rStyle w:val="8"/>
          <w:rFonts w:hint="default" w:ascii="宋体" w:hAnsi="宋体" w:eastAsia="宋体" w:cs="宋体"/>
          <w:b/>
          <w:sz w:val="24"/>
          <w:szCs w:val="24"/>
        </w:rPr>
        <w:t>方）：</w:t>
      </w:r>
    </w:p>
    <w:p>
      <w:pPr>
        <w:pStyle w:val="5"/>
        <w:keepNext w:val="0"/>
        <w:keepLines w:val="0"/>
        <w:widowControl/>
        <w:suppressLineNumbers w:val="0"/>
        <w:spacing w:before="0" w:beforeAutospacing="0" w:after="0" w:afterAutospacing="0" w:line="360" w:lineRule="atLeast"/>
        <w:ind w:left="0" w:right="0"/>
        <w:rPr>
          <w:rStyle w:val="8"/>
          <w:rFonts w:hint="default" w:ascii="宋体" w:hAnsi="宋体" w:eastAsia="宋体" w:cs="宋体"/>
          <w:b/>
          <w:sz w:val="24"/>
          <w:szCs w:val="24"/>
        </w:rPr>
      </w:pPr>
      <w:r>
        <w:rPr>
          <w:rStyle w:val="8"/>
          <w:rFonts w:hint="eastAsia" w:ascii="宋体" w:hAnsi="宋体" w:eastAsia="宋体" w:cs="宋体"/>
          <w:b/>
          <w:sz w:val="24"/>
          <w:szCs w:val="24"/>
        </w:rPr>
        <w:t>乙方（买</w:t>
      </w:r>
      <w:r>
        <w:rPr>
          <w:rStyle w:val="8"/>
          <w:rFonts w:hint="default" w:ascii="宋体" w:hAnsi="宋体" w:eastAsia="宋体" w:cs="宋体"/>
          <w:b/>
          <w:sz w:val="24"/>
          <w:szCs w:val="24"/>
        </w:rPr>
        <w:t>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为了明确甲乙双方的权利、义务，规范甲乙双方的交易行为。根据《中华人民共和国民法典》的规定，经甲、乙双方充分协商达成合意，签订以下条款，以便共同遵守。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一、 合同标的</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065"/>
        <w:gridCol w:w="677"/>
        <w:gridCol w:w="1839"/>
        <w:gridCol w:w="677"/>
        <w:gridCol w:w="1968"/>
        <w:gridCol w:w="677"/>
        <w:gridCol w:w="209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426" w:hRule="atLeast"/>
        </w:trPr>
        <w:tc>
          <w:tcPr>
            <w:tcW w:w="106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产品名称</w:t>
            </w:r>
          </w:p>
        </w:tc>
        <w:tc>
          <w:tcPr>
            <w:tcW w:w="677"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型 号</w:t>
            </w:r>
          </w:p>
        </w:tc>
        <w:tc>
          <w:tcPr>
            <w:tcW w:w="183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规格（mm×mm）</w:t>
            </w:r>
          </w:p>
        </w:tc>
        <w:tc>
          <w:tcPr>
            <w:tcW w:w="677"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数 量</w:t>
            </w:r>
          </w:p>
        </w:tc>
        <w:tc>
          <w:tcPr>
            <w:tcW w:w="196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 价（元∕㎡）</w:t>
            </w:r>
          </w:p>
        </w:tc>
        <w:tc>
          <w:tcPr>
            <w:tcW w:w="677"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金 额</w:t>
            </w:r>
          </w:p>
        </w:tc>
        <w:tc>
          <w:tcPr>
            <w:tcW w:w="2097"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备 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405" w:hRule="atLeast"/>
        </w:trPr>
        <w:tc>
          <w:tcPr>
            <w:tcW w:w="1065" w:type="dxa"/>
            <w:vMerge w:val="restart"/>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77" w:type="dxa"/>
            <w:tcBorders>
              <w:top w:val="single" w:color="000000" w:sz="6" w:space="0"/>
              <w:left w:val="single" w:color="000000" w:sz="6" w:space="0"/>
              <w:bottom w:val="single" w:color="000000" w:sz="6" w:space="0"/>
              <w:right w:val="single" w:color="000000" w:sz="6" w:space="0"/>
            </w:tcBorders>
            <w:shd w:val="clear" w:color="auto" w:fill="auto"/>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83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77"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6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77"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097" w:type="dxa"/>
            <w:vMerge w:val="restart"/>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按实际供货量结算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405" w:hRule="atLeast"/>
        </w:trPr>
        <w:tc>
          <w:tcPr>
            <w:tcW w:w="1065" w:type="dxa"/>
            <w:vMerge w:val="continue"/>
            <w:tcBorders>
              <w:top w:val="single" w:color="000000" w:sz="6" w:space="0"/>
              <w:left w:val="single" w:color="000000" w:sz="6" w:space="0"/>
              <w:bottom w:val="single" w:color="000000" w:sz="6" w:space="0"/>
              <w:right w:val="single" w:color="000000" w:sz="6" w:space="0"/>
            </w:tcBorders>
            <w:shd w:val="clear" w:color="auto" w:fill="auto"/>
            <w:vAlign w:val="top"/>
          </w:tcPr>
          <w:p>
            <w:pPr>
              <w:rPr>
                <w:rFonts w:hint="eastAsia" w:ascii="宋体" w:hAnsi="宋体" w:eastAsia="宋体" w:cs="宋体"/>
                <w:sz w:val="24"/>
                <w:szCs w:val="24"/>
              </w:rPr>
            </w:pPr>
          </w:p>
        </w:tc>
        <w:tc>
          <w:tcPr>
            <w:tcW w:w="677" w:type="dxa"/>
            <w:tcBorders>
              <w:top w:val="single" w:color="000000" w:sz="6" w:space="0"/>
              <w:left w:val="single" w:color="000000" w:sz="6" w:space="0"/>
              <w:bottom w:val="single" w:color="000000" w:sz="6" w:space="0"/>
              <w:right w:val="single" w:color="000000" w:sz="6" w:space="0"/>
            </w:tcBorders>
            <w:shd w:val="clear" w:color="auto" w:fill="auto"/>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83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77" w:type="dxa"/>
            <w:tcBorders>
              <w:top w:val="single" w:color="000000" w:sz="6" w:space="0"/>
              <w:left w:val="single" w:color="000000" w:sz="6" w:space="0"/>
              <w:bottom w:val="single" w:color="000000" w:sz="6" w:space="0"/>
              <w:right w:val="single" w:color="000000" w:sz="6" w:space="0"/>
            </w:tcBorders>
            <w:shd w:val="clear" w:color="auto" w:fill="auto"/>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968" w:type="dxa"/>
            <w:tcBorders>
              <w:top w:val="single" w:color="000000" w:sz="6" w:space="0"/>
              <w:left w:val="single" w:color="000000" w:sz="6" w:space="0"/>
              <w:bottom w:val="single" w:color="000000" w:sz="6" w:space="0"/>
              <w:right w:val="single" w:color="000000" w:sz="6" w:space="0"/>
            </w:tcBorders>
            <w:shd w:val="clear" w:color="auto" w:fill="auto"/>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677"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097" w:type="dxa"/>
            <w:vMerge w:val="continue"/>
            <w:tcBorders>
              <w:top w:val="single" w:color="000000" w:sz="6" w:space="0"/>
              <w:left w:val="single" w:color="000000" w:sz="6" w:space="0"/>
              <w:bottom w:val="single" w:color="000000" w:sz="6" w:space="0"/>
              <w:right w:val="single" w:color="000000" w:sz="6" w:space="0"/>
            </w:tcBorders>
            <w:shd w:val="clear" w:color="auto" w:fill="auto"/>
            <w:vAlign w:val="top"/>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405" w:hRule="atLeast"/>
        </w:trPr>
        <w:tc>
          <w:tcPr>
            <w:tcW w:w="1065" w:type="dxa"/>
            <w:vMerge w:val="continue"/>
            <w:tcBorders>
              <w:top w:val="single" w:color="000000" w:sz="6" w:space="0"/>
              <w:left w:val="single" w:color="000000" w:sz="6" w:space="0"/>
              <w:bottom w:val="single" w:color="000000" w:sz="6" w:space="0"/>
              <w:right w:val="single" w:color="000000" w:sz="6" w:space="0"/>
            </w:tcBorders>
            <w:shd w:val="clear" w:color="auto" w:fill="auto"/>
            <w:vAlign w:val="top"/>
          </w:tcPr>
          <w:p>
            <w:pPr>
              <w:rPr>
                <w:rFonts w:hint="eastAsia" w:ascii="宋体" w:hAnsi="宋体" w:eastAsia="宋体" w:cs="宋体"/>
                <w:sz w:val="24"/>
                <w:szCs w:val="24"/>
              </w:rPr>
            </w:pPr>
          </w:p>
        </w:tc>
        <w:tc>
          <w:tcPr>
            <w:tcW w:w="677"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39" w:type="dxa"/>
            <w:tcBorders>
              <w:top w:val="single" w:color="000000" w:sz="6" w:space="0"/>
              <w:left w:val="single" w:color="000000" w:sz="6" w:space="0"/>
              <w:bottom w:val="single" w:color="000000" w:sz="6" w:space="0"/>
              <w:right w:val="single" w:color="000000" w:sz="6" w:space="0"/>
            </w:tcBorders>
            <w:shd w:val="clear" w:color="auto" w:fill="auto"/>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677" w:type="dxa"/>
            <w:tcBorders>
              <w:top w:val="single" w:color="000000" w:sz="6" w:space="0"/>
              <w:left w:val="single" w:color="000000" w:sz="6" w:space="0"/>
              <w:bottom w:val="single" w:color="000000" w:sz="6" w:space="0"/>
              <w:right w:val="single" w:color="000000" w:sz="6" w:space="0"/>
            </w:tcBorders>
            <w:shd w:val="clear" w:color="auto" w:fill="auto"/>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968" w:type="dxa"/>
            <w:tcBorders>
              <w:top w:val="single" w:color="000000" w:sz="6" w:space="0"/>
              <w:left w:val="single" w:color="000000" w:sz="6" w:space="0"/>
              <w:bottom w:val="single" w:color="000000" w:sz="6" w:space="0"/>
              <w:right w:val="single" w:color="000000" w:sz="6" w:space="0"/>
            </w:tcBorders>
            <w:shd w:val="clear" w:color="auto" w:fill="auto"/>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677"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097" w:type="dxa"/>
            <w:vMerge w:val="continue"/>
            <w:tcBorders>
              <w:top w:val="single" w:color="000000" w:sz="6" w:space="0"/>
              <w:left w:val="single" w:color="000000" w:sz="6" w:space="0"/>
              <w:bottom w:val="single" w:color="000000" w:sz="6" w:space="0"/>
              <w:right w:val="single" w:color="000000" w:sz="6" w:space="0"/>
            </w:tcBorders>
            <w:shd w:val="clear" w:color="auto" w:fill="auto"/>
            <w:vAlign w:val="top"/>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405" w:hRule="atLeast"/>
        </w:trPr>
        <w:tc>
          <w:tcPr>
            <w:tcW w:w="9000" w:type="dxa"/>
            <w:gridSpan w:val="7"/>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总额人民币（大写）：</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二、 产品等级以及质量标准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本合同采用以下</w:t>
      </w:r>
      <w:r>
        <w:rPr>
          <w:rFonts w:hint="eastAsia" w:ascii="宋体" w:hAnsi="宋体" w:eastAsia="宋体" w:cs="宋体"/>
          <w:sz w:val="24"/>
          <w:szCs w:val="24"/>
          <w:u w:val="single"/>
        </w:rPr>
        <w:t>    </w:t>
      </w:r>
      <w:r>
        <w:rPr>
          <w:rFonts w:hint="eastAsia" w:ascii="宋体" w:hAnsi="宋体" w:eastAsia="宋体" w:cs="宋体"/>
          <w:sz w:val="24"/>
          <w:szCs w:val="24"/>
        </w:rPr>
        <w:t>条款约定的等级及质量标准；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（1）等级：优等品：质量标准：执行优于国家标准（GB/T4100-2015《陶瓷砖》）或行业标准（JC/T994-2006《微晶玻璃陶瓷复合砖》）的</w:t>
      </w:r>
      <w:r>
        <w:rPr>
          <w:rFonts w:hint="eastAsia" w:ascii="宋体" w:hAnsi="宋体" w:eastAsia="宋体" w:cs="宋体"/>
          <w:sz w:val="24"/>
          <w:szCs w:val="24"/>
          <w:u w:val="single"/>
        </w:rPr>
        <w:t>    </w:t>
      </w:r>
      <w:r>
        <w:rPr>
          <w:rFonts w:hint="eastAsia" w:ascii="宋体" w:hAnsi="宋体" w:eastAsia="宋体" w:cs="宋体"/>
          <w:sz w:val="24"/>
          <w:szCs w:val="24"/>
        </w:rPr>
        <w:t>企业标准（</w:t>
      </w:r>
      <w:r>
        <w:rPr>
          <w:rFonts w:hint="eastAsia" w:ascii="宋体" w:hAnsi="宋体" w:eastAsia="宋体" w:cs="宋体"/>
          <w:sz w:val="24"/>
          <w:szCs w:val="24"/>
          <w:u w:val="single"/>
        </w:rPr>
        <w:t>    </w:t>
      </w:r>
      <w:r>
        <w:rPr>
          <w:rFonts w:hint="eastAsia" w:ascii="宋体" w:hAnsi="宋体" w:eastAsia="宋体" w:cs="宋体"/>
          <w:sz w:val="24"/>
          <w:szCs w:val="24"/>
        </w:rPr>
        <w:t>）中的优等品标准。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（2）等级：合格品。质量标准：执行</w:t>
      </w:r>
      <w:r>
        <w:rPr>
          <w:rFonts w:hint="eastAsia" w:ascii="宋体" w:hAnsi="宋体" w:eastAsia="宋体" w:cs="宋体"/>
          <w:sz w:val="24"/>
          <w:szCs w:val="24"/>
          <w:u w:val="single"/>
        </w:rPr>
        <w:t>    </w:t>
      </w:r>
      <w:r>
        <w:rPr>
          <w:rFonts w:hint="eastAsia" w:ascii="宋体" w:hAnsi="宋体" w:eastAsia="宋体" w:cs="宋体"/>
          <w:sz w:val="24"/>
          <w:szCs w:val="24"/>
        </w:rPr>
        <w:t>企业标准（</w:t>
      </w:r>
      <w:r>
        <w:rPr>
          <w:rFonts w:hint="eastAsia" w:ascii="宋体" w:hAnsi="宋体" w:eastAsia="宋体" w:cs="宋体"/>
          <w:sz w:val="24"/>
          <w:szCs w:val="24"/>
          <w:u w:val="single"/>
        </w:rPr>
        <w:t>    </w:t>
      </w:r>
      <w:r>
        <w:rPr>
          <w:rFonts w:hint="eastAsia" w:ascii="宋体" w:hAnsi="宋体" w:eastAsia="宋体" w:cs="宋体"/>
          <w:sz w:val="24"/>
          <w:szCs w:val="24"/>
        </w:rPr>
        <w:t>）中的合格品标准，技术要求等同于国家标准。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三、包装标准及费用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按甲方出厂产品包装的规定标准包装，包装费用由甲方承担。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四、交货方法、运输方式、装卸责任、到货地址、接货人及资金往来确认等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1.产品的交（提）货期限及运输方式：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2.装卸责任及费用：装货的责任及费用由卖方承担，卸货的责任及费用由买方承担。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3.产品使用工程项目名称及地址：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4.交货地点：</w:t>
      </w:r>
      <w:r>
        <w:rPr>
          <w:rFonts w:hint="eastAsia" w:ascii="宋体" w:hAnsi="宋体" w:eastAsia="宋体" w:cs="宋体"/>
          <w:sz w:val="24"/>
          <w:szCs w:val="24"/>
          <w:u w:val="single"/>
        </w:rPr>
        <w:t>        </w:t>
      </w:r>
      <w:r>
        <w:rPr>
          <w:rFonts w:hint="eastAsia" w:ascii="宋体" w:hAnsi="宋体" w:eastAsia="宋体" w:cs="宋体"/>
          <w:sz w:val="24"/>
          <w:szCs w:val="24"/>
        </w:rPr>
        <w:t>项目工地车辆一次运输可以到达的地方。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5.买方指定： （1）姓名：</w:t>
      </w:r>
      <w:r>
        <w:rPr>
          <w:rFonts w:hint="eastAsia" w:ascii="宋体" w:hAnsi="宋体" w:eastAsia="宋体" w:cs="宋体"/>
          <w:sz w:val="24"/>
          <w:szCs w:val="24"/>
          <w:u w:val="single"/>
        </w:rPr>
        <w:t>        </w:t>
      </w:r>
      <w:r>
        <w:rPr>
          <w:rFonts w:hint="eastAsia" w:ascii="宋体" w:hAnsi="宋体" w:eastAsia="宋体" w:cs="宋体"/>
          <w:sz w:val="24"/>
          <w:szCs w:val="24"/>
        </w:rPr>
        <w:t>联系电话：</w:t>
      </w:r>
      <w:r>
        <w:rPr>
          <w:rFonts w:hint="eastAsia" w:ascii="宋体" w:hAnsi="宋体" w:eastAsia="宋体" w:cs="宋体"/>
          <w:sz w:val="24"/>
          <w:szCs w:val="24"/>
          <w:u w:val="single"/>
        </w:rPr>
        <w:t>        </w:t>
      </w:r>
      <w:r>
        <w:rPr>
          <w:rFonts w:hint="eastAsia" w:ascii="宋体" w:hAnsi="宋体" w:eastAsia="宋体" w:cs="宋体"/>
          <w:sz w:val="24"/>
          <w:szCs w:val="24"/>
        </w:rPr>
        <w:t>或（2）姓名：</w:t>
      </w:r>
      <w:r>
        <w:rPr>
          <w:rFonts w:hint="eastAsia" w:ascii="宋体" w:hAnsi="宋体" w:eastAsia="宋体" w:cs="宋体"/>
          <w:sz w:val="24"/>
          <w:szCs w:val="24"/>
          <w:u w:val="single"/>
        </w:rPr>
        <w:t>        </w:t>
      </w:r>
      <w:r>
        <w:rPr>
          <w:rFonts w:hint="eastAsia" w:ascii="宋体" w:hAnsi="宋体" w:eastAsia="宋体" w:cs="宋体"/>
          <w:sz w:val="24"/>
          <w:szCs w:val="24"/>
        </w:rPr>
        <w:t>联系电话：</w:t>
      </w:r>
      <w:r>
        <w:rPr>
          <w:rFonts w:hint="eastAsia" w:ascii="宋体" w:hAnsi="宋体" w:eastAsia="宋体" w:cs="宋体"/>
          <w:sz w:val="24"/>
          <w:szCs w:val="24"/>
          <w:u w:val="single"/>
        </w:rPr>
        <w:t>        </w:t>
      </w:r>
      <w:r>
        <w:rPr>
          <w:rFonts w:hint="eastAsia" w:ascii="宋体" w:hAnsi="宋体" w:eastAsia="宋体" w:cs="宋体"/>
          <w:sz w:val="24"/>
          <w:szCs w:val="24"/>
        </w:rPr>
        <w:t>负责接货、与甲方核对账目及签收卖方的发票。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 卖方联系人：</w:t>
      </w:r>
      <w:r>
        <w:rPr>
          <w:rFonts w:hint="eastAsia" w:ascii="宋体" w:hAnsi="宋体" w:eastAsia="宋体" w:cs="宋体"/>
          <w:sz w:val="24"/>
          <w:szCs w:val="24"/>
          <w:u w:val="single"/>
        </w:rPr>
        <w:t>        </w:t>
      </w:r>
      <w:r>
        <w:rPr>
          <w:rFonts w:hint="eastAsia" w:ascii="宋体" w:hAnsi="宋体" w:eastAsia="宋体" w:cs="宋体"/>
          <w:sz w:val="24"/>
          <w:szCs w:val="24"/>
        </w:rPr>
        <w:t>；联系电话：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五、货物所有权及验收方法和异议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甲乙双方应在货物交付之日当场共同对货物进行验收，否则视为验收合格，货物风险自乙方签收后转移，由乙方承担。但买方未全额付清货款之前货物所有权属卖方所有。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六、付款期限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卖方收到货款发货</w:t>
      </w:r>
      <w:r>
        <w:rPr>
          <w:rStyle w:val="8"/>
          <w:rFonts w:hint="eastAsia" w:ascii="宋体" w:hAnsi="宋体" w:eastAsia="宋体" w:cs="宋体"/>
          <w:b/>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七、付款方式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支票（  ）；转账（  ）；现金（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（1）支票支付，则买方开具的抬头为“</w:t>
      </w:r>
      <w:r>
        <w:rPr>
          <w:rFonts w:hint="eastAsia" w:ascii="宋体" w:hAnsi="宋体" w:eastAsia="宋体" w:cs="宋体"/>
          <w:sz w:val="24"/>
          <w:szCs w:val="24"/>
          <w:u w:val="single"/>
        </w:rPr>
        <w:t>        </w:t>
      </w:r>
      <w:r>
        <w:rPr>
          <w:rFonts w:hint="eastAsia" w:ascii="宋体" w:hAnsi="宋体" w:eastAsia="宋体" w:cs="宋体"/>
          <w:sz w:val="24"/>
          <w:szCs w:val="24"/>
        </w:rPr>
        <w:t>”，否则视为卖方未收到该支票。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（2）银行转账支付，则买方必须将货款转账至“</w:t>
      </w:r>
      <w:r>
        <w:rPr>
          <w:rFonts w:hint="eastAsia" w:ascii="宋体" w:hAnsi="宋体" w:eastAsia="宋体" w:cs="宋体"/>
          <w:sz w:val="24"/>
          <w:szCs w:val="24"/>
          <w:u w:val="single"/>
        </w:rPr>
        <w:t>        </w:t>
      </w:r>
      <w:r>
        <w:rPr>
          <w:rFonts w:hint="eastAsia" w:ascii="宋体" w:hAnsi="宋体" w:eastAsia="宋体" w:cs="宋体"/>
          <w:sz w:val="24"/>
          <w:szCs w:val="24"/>
        </w:rPr>
        <w:t>”，转账至其它账户（含卖方公司个人账户），均视为付款未履行。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（3）买方现金支付，应当交给卖方下列指定的专人同时收取，姓名：</w:t>
      </w:r>
      <w:r>
        <w:rPr>
          <w:rFonts w:hint="eastAsia" w:ascii="宋体" w:hAnsi="宋体" w:eastAsia="宋体" w:cs="宋体"/>
          <w:sz w:val="24"/>
          <w:szCs w:val="24"/>
          <w:u w:val="single"/>
        </w:rPr>
        <w:t>        </w:t>
      </w:r>
      <w:r>
        <w:rPr>
          <w:rFonts w:hint="eastAsia" w:ascii="宋体" w:hAnsi="宋体" w:eastAsia="宋体" w:cs="宋体"/>
          <w:sz w:val="24"/>
          <w:szCs w:val="24"/>
        </w:rPr>
        <w:t>身份证号码：</w:t>
      </w:r>
      <w:r>
        <w:rPr>
          <w:rFonts w:hint="eastAsia" w:ascii="宋体" w:hAnsi="宋体" w:eastAsia="宋体" w:cs="宋体"/>
          <w:sz w:val="24"/>
          <w:szCs w:val="24"/>
          <w:u w:val="single"/>
        </w:rPr>
        <w:t>        </w:t>
      </w:r>
      <w:r>
        <w:rPr>
          <w:rFonts w:hint="eastAsia" w:ascii="宋体" w:hAnsi="宋体" w:eastAsia="宋体" w:cs="宋体"/>
          <w:sz w:val="24"/>
          <w:szCs w:val="24"/>
        </w:rPr>
        <w:t>姓名：</w:t>
      </w:r>
      <w:r>
        <w:rPr>
          <w:rFonts w:hint="eastAsia" w:ascii="宋体" w:hAnsi="宋体" w:eastAsia="宋体" w:cs="宋体"/>
          <w:sz w:val="24"/>
          <w:szCs w:val="24"/>
          <w:u w:val="single"/>
        </w:rPr>
        <w:t>        </w:t>
      </w:r>
      <w:r>
        <w:rPr>
          <w:rFonts w:hint="eastAsia" w:ascii="宋体" w:hAnsi="宋体" w:eastAsia="宋体" w:cs="宋体"/>
          <w:sz w:val="24"/>
          <w:szCs w:val="24"/>
        </w:rPr>
        <w:t>身份证号码：</w:t>
      </w:r>
      <w:r>
        <w:rPr>
          <w:rFonts w:hint="eastAsia" w:ascii="宋体" w:hAnsi="宋体" w:eastAsia="宋体" w:cs="宋体"/>
          <w:sz w:val="24"/>
          <w:szCs w:val="24"/>
          <w:u w:val="single"/>
        </w:rPr>
        <w:t>        </w:t>
      </w:r>
      <w:r>
        <w:rPr>
          <w:rFonts w:hint="eastAsia" w:ascii="宋体" w:hAnsi="宋体" w:eastAsia="宋体" w:cs="宋体"/>
          <w:sz w:val="24"/>
          <w:szCs w:val="24"/>
        </w:rPr>
        <w:t>。且在卖方的《购货方货款支付现金证明单》上加盖印章，否则视为买方付款未履行。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八、开具发票约定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货物交付后，卖方根据实际交付货物金额开具本合同买方主体全称为发票抬头的发票。货物未交付，买方支付预付款或货款，卖方先行开具预付款收款收据或货款收款收据。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九、双方约定事项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1.甲乙双方协商一致，发票不作为付款凭证，盖有卖方公章或财务专用章的现金收据或银行转账凭证作为双方付款凭证。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本合同书项下货物是双方充分协商就本合同项下产品使用工程项目达成的（型号、价格、数量），买方不得挪作它用，但如有使用多余可依据本条第四款履行，包括但不限于将该合同货物作转卖、抵押、租赁或其他非合同约定项目使用。若违反此条，乙方同意按下列情形承担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（1）甲方未供货前，甲方可以立即解除合同，乙方承担合同总金额的30%违约金；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（2）甲方已供货，乙方将该合同货物转让给第三方，第三方尚未铺贴的，甲方可以直接解除合同，乙方应无条件退还甲方货物，并承担合同总金额</w:t>
      </w:r>
      <w:r>
        <w:rPr>
          <w:rFonts w:hint="eastAsia" w:ascii="宋体" w:hAnsi="宋体" w:eastAsia="宋体" w:cs="宋体"/>
          <w:sz w:val="24"/>
          <w:szCs w:val="24"/>
          <w:u w:val="single"/>
        </w:rPr>
        <w:t>    </w:t>
      </w:r>
      <w:r>
        <w:rPr>
          <w:rFonts w:hint="eastAsia" w:ascii="宋体" w:hAnsi="宋体" w:eastAsia="宋体" w:cs="宋体"/>
          <w:sz w:val="24"/>
          <w:szCs w:val="24"/>
        </w:rPr>
        <w:t>%违约金；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（3）甲方已供货，乙方将该合同货物转让第三方，第三方已铺贴完毕的，乙方应支付甲方违约金，金额为处分该货物总价值（按市场专卖店标价计算）的二倍。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应按时付款，如出现拒付货款、付款延迟、付款不足等情形，甲方有权延迟交货，且不承担因此给乙方造成的任何损失和责任，并有权要求乙方从拖欠货款之日起每日承担应付货款万分之五的违约金。拒付货款或迟延付款3个月以上的，卖方有权解除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4.乙方已接收的甲方产品，在包装和质量上与甲方所发货物一致时，在不影响甲方二次销售的前提下（如：整箱、不浸水不破损），可以多退少补。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5.本合同约定数量为暂定数量，最终结算以实际发生量为准。甲方发票按实际发生量开具。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6.该批产品价格仅对上述项目有效，乙方有保密义务。对因乙方泄密而造成的损失,甲方有权要求赔偿.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十、免责条款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履行期间，如发生战争、自然灾害、第三人造成的意外事故等甲乙双方不能预见、不能避免并不能克服的客观情况，导致一方不能正常履行合同，该方不履行合同的行为不构成违约。但受不可抗力影响的一方须将不可抗力的发生及其理由及时通知对方，以减轻可能给对方造成的损失，并在合理的期限内提供有关主管部门的证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十一、双方其他约定事项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1.乙方需要甲方提供瓷砖下垫栈板交付货物的，栈板属于甲方所有，乙方应尽到妥善保管的注意义务，使用完毕之日（瓷砖铺贴完毕）交还甲方，如有损坏或遗失，乙方同意按照每个人民币</w:t>
      </w:r>
      <w:r>
        <w:rPr>
          <w:rFonts w:hint="eastAsia" w:ascii="宋体" w:hAnsi="宋体" w:eastAsia="宋体" w:cs="宋体"/>
          <w:sz w:val="24"/>
          <w:szCs w:val="24"/>
          <w:u w:val="single"/>
        </w:rPr>
        <w:t>    </w:t>
      </w:r>
      <w:r>
        <w:rPr>
          <w:rFonts w:hint="eastAsia" w:ascii="宋体" w:hAnsi="宋体" w:eastAsia="宋体" w:cs="宋体"/>
          <w:sz w:val="24"/>
          <w:szCs w:val="24"/>
        </w:rPr>
        <w:t>元元赔偿。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2.切割费用：直线切割元人民币</w:t>
      </w:r>
      <w:r>
        <w:rPr>
          <w:rFonts w:hint="eastAsia" w:ascii="宋体" w:hAnsi="宋体" w:eastAsia="宋体" w:cs="宋体"/>
          <w:sz w:val="24"/>
          <w:szCs w:val="24"/>
          <w:u w:val="single"/>
        </w:rPr>
        <w:t>    </w:t>
      </w:r>
      <w:r>
        <w:rPr>
          <w:rFonts w:hint="eastAsia" w:ascii="宋体" w:hAnsi="宋体" w:eastAsia="宋体" w:cs="宋体"/>
          <w:sz w:val="24"/>
          <w:szCs w:val="24"/>
        </w:rPr>
        <w:t>元/米 ，倒角、圆弧、拉槽各人民币</w:t>
      </w:r>
      <w:r>
        <w:rPr>
          <w:rFonts w:hint="eastAsia" w:ascii="宋体" w:hAnsi="宋体" w:eastAsia="宋体" w:cs="宋体"/>
          <w:sz w:val="24"/>
          <w:szCs w:val="24"/>
          <w:u w:val="single"/>
        </w:rPr>
        <w:t>    </w:t>
      </w:r>
      <w:r>
        <w:rPr>
          <w:rFonts w:hint="eastAsia" w:ascii="宋体" w:hAnsi="宋体" w:eastAsia="宋体" w:cs="宋体"/>
          <w:sz w:val="24"/>
          <w:szCs w:val="24"/>
        </w:rPr>
        <w:t>元/米。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十二、保养义务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卖方有义务为买方提供瓷砖施工保养建议，指导乙方对瓷砖进行正确的日常保养。详见合同附件一：《瓷砖施工保养》。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十三、质量保证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卖方质量保证仅限于买方对货物进行正常使用的情况，如出现以下情况，卖方不保证货物的质量能够达到本合同的规定，且不承担因此引起的其他责任。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1.买方没有按照行业通行的操作规程使用货物；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2.买方采用劣质的原材料进行建筑生产；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3.买方非正常使用货物的（保管、保养不善等造成产品质量下降）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4.乙方未遵照甲方施工保养建议妥善施工的。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十四、争议的解决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本合同如发生纠纷，当事人双方应当及时协商解决，若协商不成，应提交卖方所在地人民法院诉讼解决。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十五、附则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1.本协议一式二份，协议各方各执一份。各份协议文本具有同等法律效力。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2.本协议经各方签署后生效。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合同附件一：《瓷砖施工保养》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1A362F5"/>
    <w:rsid w:val="00283A7D"/>
    <w:rsid w:val="005E6336"/>
    <w:rsid w:val="012F7AFA"/>
    <w:rsid w:val="01576C27"/>
    <w:rsid w:val="017B227E"/>
    <w:rsid w:val="019F5DAB"/>
    <w:rsid w:val="02560E5E"/>
    <w:rsid w:val="02F3458B"/>
    <w:rsid w:val="03703007"/>
    <w:rsid w:val="043636E7"/>
    <w:rsid w:val="054B47ED"/>
    <w:rsid w:val="05681BFA"/>
    <w:rsid w:val="0611258E"/>
    <w:rsid w:val="06AA726A"/>
    <w:rsid w:val="06C0621B"/>
    <w:rsid w:val="06D94D10"/>
    <w:rsid w:val="09391D6D"/>
    <w:rsid w:val="0A8B487D"/>
    <w:rsid w:val="0B054BAD"/>
    <w:rsid w:val="0C0B6B87"/>
    <w:rsid w:val="0C15460C"/>
    <w:rsid w:val="0C2003D3"/>
    <w:rsid w:val="0D602A51"/>
    <w:rsid w:val="0D6965DE"/>
    <w:rsid w:val="0D9C15AF"/>
    <w:rsid w:val="0EA83F48"/>
    <w:rsid w:val="0EC43EED"/>
    <w:rsid w:val="0F5F1D21"/>
    <w:rsid w:val="0FB43B66"/>
    <w:rsid w:val="106D49B3"/>
    <w:rsid w:val="10A24CE5"/>
    <w:rsid w:val="1157695B"/>
    <w:rsid w:val="11937B39"/>
    <w:rsid w:val="12173857"/>
    <w:rsid w:val="128C4C7F"/>
    <w:rsid w:val="12D003FE"/>
    <w:rsid w:val="13373EC3"/>
    <w:rsid w:val="136561C9"/>
    <w:rsid w:val="13855D13"/>
    <w:rsid w:val="14D5348D"/>
    <w:rsid w:val="16BE074B"/>
    <w:rsid w:val="16CC1504"/>
    <w:rsid w:val="16E3232E"/>
    <w:rsid w:val="16EA5DFC"/>
    <w:rsid w:val="16FB02DC"/>
    <w:rsid w:val="178E4FCB"/>
    <w:rsid w:val="17FA1CE1"/>
    <w:rsid w:val="18365AC2"/>
    <w:rsid w:val="185965E4"/>
    <w:rsid w:val="18632D74"/>
    <w:rsid w:val="18CC42B7"/>
    <w:rsid w:val="1A2D4CF5"/>
    <w:rsid w:val="1A5B7282"/>
    <w:rsid w:val="1A775624"/>
    <w:rsid w:val="1A9C60B6"/>
    <w:rsid w:val="1B067642"/>
    <w:rsid w:val="1B7F71AD"/>
    <w:rsid w:val="1B945815"/>
    <w:rsid w:val="1BD224E1"/>
    <w:rsid w:val="1CD6764D"/>
    <w:rsid w:val="1D1716AF"/>
    <w:rsid w:val="1D403C56"/>
    <w:rsid w:val="1D996B29"/>
    <w:rsid w:val="1F5D0618"/>
    <w:rsid w:val="20460F03"/>
    <w:rsid w:val="20D878D2"/>
    <w:rsid w:val="20E0631A"/>
    <w:rsid w:val="20E87277"/>
    <w:rsid w:val="228D0680"/>
    <w:rsid w:val="240A65F4"/>
    <w:rsid w:val="241F48FC"/>
    <w:rsid w:val="24CC775C"/>
    <w:rsid w:val="250E1085"/>
    <w:rsid w:val="25C77597"/>
    <w:rsid w:val="263819DA"/>
    <w:rsid w:val="270F702A"/>
    <w:rsid w:val="28EB185D"/>
    <w:rsid w:val="28ED48FD"/>
    <w:rsid w:val="29EB1520"/>
    <w:rsid w:val="2B223ADD"/>
    <w:rsid w:val="2B6C6F7E"/>
    <w:rsid w:val="2C055EAD"/>
    <w:rsid w:val="2C5A0891"/>
    <w:rsid w:val="2C5B61DF"/>
    <w:rsid w:val="2CC02A93"/>
    <w:rsid w:val="2D172661"/>
    <w:rsid w:val="2E220C93"/>
    <w:rsid w:val="2E821941"/>
    <w:rsid w:val="2E833120"/>
    <w:rsid w:val="2E8E3AD8"/>
    <w:rsid w:val="2EAB01EE"/>
    <w:rsid w:val="2EF370C0"/>
    <w:rsid w:val="2FA92D9C"/>
    <w:rsid w:val="2FDA6511"/>
    <w:rsid w:val="30060D08"/>
    <w:rsid w:val="303D2AEE"/>
    <w:rsid w:val="30C350AA"/>
    <w:rsid w:val="30CF2D55"/>
    <w:rsid w:val="31ED728F"/>
    <w:rsid w:val="3344291E"/>
    <w:rsid w:val="33450C26"/>
    <w:rsid w:val="33545FE3"/>
    <w:rsid w:val="357356EE"/>
    <w:rsid w:val="35896136"/>
    <w:rsid w:val="37CA2E12"/>
    <w:rsid w:val="38A947D2"/>
    <w:rsid w:val="3A572AB8"/>
    <w:rsid w:val="3B2009C3"/>
    <w:rsid w:val="3B26758A"/>
    <w:rsid w:val="3B53250E"/>
    <w:rsid w:val="3B926CE3"/>
    <w:rsid w:val="3CD827AF"/>
    <w:rsid w:val="3CF64770"/>
    <w:rsid w:val="3D5D5E1C"/>
    <w:rsid w:val="3E744125"/>
    <w:rsid w:val="3EAD6EC3"/>
    <w:rsid w:val="3EFB3BBB"/>
    <w:rsid w:val="40483C56"/>
    <w:rsid w:val="405F5973"/>
    <w:rsid w:val="41D15F60"/>
    <w:rsid w:val="426016E2"/>
    <w:rsid w:val="42EF6355"/>
    <w:rsid w:val="438E64A6"/>
    <w:rsid w:val="43B471E8"/>
    <w:rsid w:val="44603B10"/>
    <w:rsid w:val="464C40DB"/>
    <w:rsid w:val="46820FEF"/>
    <w:rsid w:val="482A7FA0"/>
    <w:rsid w:val="49101346"/>
    <w:rsid w:val="492D45A6"/>
    <w:rsid w:val="493B7801"/>
    <w:rsid w:val="495B08FA"/>
    <w:rsid w:val="4AB61357"/>
    <w:rsid w:val="4B6D7AAE"/>
    <w:rsid w:val="4C6D0EE2"/>
    <w:rsid w:val="4C960277"/>
    <w:rsid w:val="4DDC6DA9"/>
    <w:rsid w:val="4E3666C4"/>
    <w:rsid w:val="4E774AA0"/>
    <w:rsid w:val="4E9B0BB8"/>
    <w:rsid w:val="4ECB504D"/>
    <w:rsid w:val="4F5C6BF4"/>
    <w:rsid w:val="4FA6010D"/>
    <w:rsid w:val="503D4AA8"/>
    <w:rsid w:val="507F4E96"/>
    <w:rsid w:val="5099338A"/>
    <w:rsid w:val="528D0C0C"/>
    <w:rsid w:val="52EF391F"/>
    <w:rsid w:val="54057D8A"/>
    <w:rsid w:val="549324CB"/>
    <w:rsid w:val="54E8288C"/>
    <w:rsid w:val="55CD1B11"/>
    <w:rsid w:val="55D816A7"/>
    <w:rsid w:val="57685E32"/>
    <w:rsid w:val="57FE2928"/>
    <w:rsid w:val="58520059"/>
    <w:rsid w:val="586B5E01"/>
    <w:rsid w:val="58B00AC9"/>
    <w:rsid w:val="59502810"/>
    <w:rsid w:val="5BAB6918"/>
    <w:rsid w:val="5C80128B"/>
    <w:rsid w:val="5CDC6E1D"/>
    <w:rsid w:val="5D706020"/>
    <w:rsid w:val="5E2E2DE6"/>
    <w:rsid w:val="5E514E69"/>
    <w:rsid w:val="5EB6607F"/>
    <w:rsid w:val="5F125964"/>
    <w:rsid w:val="5F2D73BC"/>
    <w:rsid w:val="607E12C1"/>
    <w:rsid w:val="60C94938"/>
    <w:rsid w:val="60DC241E"/>
    <w:rsid w:val="61A362F5"/>
    <w:rsid w:val="622E4F5F"/>
    <w:rsid w:val="62740218"/>
    <w:rsid w:val="631D0B67"/>
    <w:rsid w:val="63731780"/>
    <w:rsid w:val="63CA64E7"/>
    <w:rsid w:val="642C64A8"/>
    <w:rsid w:val="64A73EDA"/>
    <w:rsid w:val="6592072C"/>
    <w:rsid w:val="661316C0"/>
    <w:rsid w:val="66626D09"/>
    <w:rsid w:val="668C1B51"/>
    <w:rsid w:val="66FD639C"/>
    <w:rsid w:val="67013951"/>
    <w:rsid w:val="67266490"/>
    <w:rsid w:val="674B373E"/>
    <w:rsid w:val="675F1434"/>
    <w:rsid w:val="676B5BBA"/>
    <w:rsid w:val="67E26182"/>
    <w:rsid w:val="69E0693D"/>
    <w:rsid w:val="6B701DBE"/>
    <w:rsid w:val="6BEF6B2D"/>
    <w:rsid w:val="6BFE1841"/>
    <w:rsid w:val="6C733900"/>
    <w:rsid w:val="6C7535D2"/>
    <w:rsid w:val="6CA00197"/>
    <w:rsid w:val="6D9B19B4"/>
    <w:rsid w:val="6DA42275"/>
    <w:rsid w:val="6DC34972"/>
    <w:rsid w:val="6ED73EAC"/>
    <w:rsid w:val="719F23FB"/>
    <w:rsid w:val="71CB6E1D"/>
    <w:rsid w:val="7219300A"/>
    <w:rsid w:val="725D19B0"/>
    <w:rsid w:val="72E64003"/>
    <w:rsid w:val="733A1569"/>
    <w:rsid w:val="73BD3548"/>
    <w:rsid w:val="75F70816"/>
    <w:rsid w:val="77984E11"/>
    <w:rsid w:val="77F16684"/>
    <w:rsid w:val="7818293C"/>
    <w:rsid w:val="79241A3C"/>
    <w:rsid w:val="79831D8F"/>
    <w:rsid w:val="7A731FC3"/>
    <w:rsid w:val="7A753329"/>
    <w:rsid w:val="7ADF7CF3"/>
    <w:rsid w:val="7BA6538D"/>
    <w:rsid w:val="7D9C48A5"/>
    <w:rsid w:val="7D9F2E4D"/>
    <w:rsid w:val="7DC00208"/>
    <w:rsid w:val="7DDD3139"/>
    <w:rsid w:val="7E322AFE"/>
    <w:rsid w:val="7FED11E1"/>
    <w:rsid w:val="BEFF3ED8"/>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2019-06-24T11:37:00Z</dcterms:created>
  <dc:creator>Administrator</dc:creator>
  <cp:lastModifiedBy>Administrator</cp:lastModifiedBy>
  <dcterms:modified xsi:type="dcterms:W3CDTF">2020-03-26T17:41:28Z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