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B57E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12" w:lineRule="auto"/>
        <w:jc w:val="center"/>
        <w:textAlignment w:val="auto"/>
      </w:pPr>
      <w:r>
        <w:rPr>
          <w:rFonts w:ascii="Arial" w:hAnsi="Arial" w:eastAsia="Arial"/>
          <w:b/>
          <w:sz w:val="40"/>
        </w:rPr>
        <w:t>YAN LUO</w:t>
      </w:r>
    </w:p>
    <w:p w14:paraId="09DC36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312" w:lineRule="auto"/>
        <w:jc w:val="center"/>
        <w:textAlignment w:val="auto"/>
      </w:pPr>
      <w:r>
        <w:rPr>
          <w:b/>
          <w:i w:val="0"/>
          <w:sz w:val="20"/>
        </w:rPr>
        <w:t>Humanoid Robotics • Robot Learning • Embodied Foundation Models</w:t>
      </w:r>
    </w:p>
    <w:p w14:paraId="5515BA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12" w:lineRule="auto"/>
        <w:jc w:val="center"/>
        <w:textAlignment w:val="auto"/>
        <w:rPr>
          <w:rFonts w:ascii="Arial" w:hAnsi="Arial" w:eastAsia="Arial"/>
          <w:b/>
          <w:bCs/>
          <w:sz w:val="20"/>
        </w:rPr>
      </w:pPr>
      <w:r>
        <w:rPr>
          <w:b/>
          <w:bCs/>
        </w:rPr>
        <w:t xml:space="preserve">Shanghai Jiao Tong University  |  luoyan99@sjtu.edu.cn  |  </w:t>
      </w:r>
      <w:r>
        <w:rPr>
          <w:rFonts w:hint="eastAsia"/>
          <w:b/>
          <w:bCs/>
        </w:rPr>
        <w:t>https://luoyanai.github.i</w:t>
      </w:r>
      <w:r>
        <w:rPr>
          <w:rFonts w:hint="eastAsia" w:eastAsia="宋体"/>
          <w:b/>
          <w:bCs/>
          <w:lang w:val="en-US" w:eastAsia="zh-CN"/>
        </w:rPr>
        <w:t>o</w:t>
      </w:r>
      <w:r>
        <w:rPr>
          <w:b/>
          <w:bCs/>
        </w:rPr>
        <w:t xml:space="preserve">  |  +86 188-1746-4668</w:t>
      </w:r>
    </w:p>
    <w:p w14:paraId="3D8CEF0C">
      <w:pPr>
        <w:keepNext w:val="0"/>
        <w:keepLines w:val="0"/>
        <w:pageBreakBefore w:val="0"/>
        <w:widowControl/>
        <w:pBdr>
          <w:bottom w:val="single" w:color="444444" w:sz="6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40" w:line="240" w:lineRule="exact"/>
        <w:textAlignment w:val="auto"/>
      </w:pPr>
      <w:r>
        <w:rPr>
          <w:rFonts w:ascii="Arial" w:hAnsi="Arial" w:eastAsia="Arial"/>
          <w:b/>
          <w:sz w:val="20"/>
        </w:rPr>
        <w:t>RESEARCH PROFILE</w:t>
      </w:r>
    </w:p>
    <w:p w14:paraId="4BF0CB6D">
      <w:pPr>
        <w:pStyle w:val="16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6" w:line="240" w:lineRule="exact"/>
        <w:jc w:val="both"/>
        <w:textAlignment w:val="auto"/>
      </w:pPr>
      <w:r>
        <w:rPr>
          <w:rFonts w:hint="eastAsia"/>
        </w:rPr>
        <w:t>Ph.D. candidate in Mechanical Engineering at Shanghai Jiao Tong University, focusing on humanoid robotics and embodied robot learning. Research spans robust whole-body locomotion, language-conditioned reinforcement learning, VLA adaptation and RL post-training, structure-aware RGB-D perception, teleoperation, and real-world manipulation. Experienced in developing end-to-end systems from robot data collection and GPU-parallel simulation to real-time deployment on humanoid and dual-arm platforms. First-author publications include IEEE Robotics and Automation Letters and Science China Technological Sciences, with additional work under review. Reviewer for IEEE Robotics and Automation Letters.</w:t>
      </w:r>
    </w:p>
    <w:p w14:paraId="07364A33">
      <w:pPr>
        <w:pStyle w:val="16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" w:line="240" w:lineRule="exact"/>
        <w:jc w:val="both"/>
        <w:textAlignment w:val="auto"/>
        <w:rPr>
          <w:b w:val="0"/>
          <w:bCs/>
        </w:rPr>
      </w:pPr>
      <w:r>
        <w:rPr>
          <w:b/>
          <w:i w:val="0"/>
          <w:sz w:val="18"/>
        </w:rPr>
        <w:t xml:space="preserve">Research Interests: </w:t>
      </w:r>
      <w:r>
        <w:rPr>
          <w:rFonts w:hint="eastAsia"/>
          <w:b w:val="0"/>
          <w:bCs/>
          <w:i w:val="0"/>
          <w:sz w:val="18"/>
        </w:rPr>
        <w:t>Humanoid control and reinforcement learning; Embodied foundation models and VLA; Scalable robot data generation and policy refinement; Multimodal perception and manipulation.</w:t>
      </w:r>
    </w:p>
    <w:p w14:paraId="35E4D0BE">
      <w:pPr>
        <w:keepNext w:val="0"/>
        <w:keepLines w:val="0"/>
        <w:pageBreakBefore w:val="0"/>
        <w:widowControl/>
        <w:pBdr>
          <w:bottom w:val="single" w:color="444444" w:sz="6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40" w:line="240" w:lineRule="exact"/>
        <w:textAlignment w:val="auto"/>
      </w:pPr>
      <w:r>
        <w:rPr>
          <w:rFonts w:ascii="Arial" w:hAnsi="Arial" w:eastAsia="Arial"/>
          <w:b/>
          <w:sz w:val="20"/>
        </w:rPr>
        <w:t>EDUCATION</w:t>
      </w:r>
    </w:p>
    <w:tbl>
      <w:tblPr>
        <w:tblStyle w:val="32"/>
        <w:tblW w:w="1061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5"/>
        <w:gridCol w:w="1150"/>
      </w:tblGrid>
      <w:tr w14:paraId="00C09C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65" w:type="dxa"/>
            <w:tcMar>
              <w:top w:w="0" w:type="dxa"/>
              <w:left w:w="0" w:type="dxa"/>
              <w:bottom w:w="8" w:type="dxa"/>
              <w:right w:w="0" w:type="dxa"/>
            </w:tcMar>
            <w:vAlign w:val="top"/>
          </w:tcPr>
          <w:p w14:paraId="5A937033">
            <w:pPr>
              <w:pStyle w:val="16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textAlignment w:val="auto"/>
            </w:pPr>
            <w:r>
              <w:rPr>
                <w:b/>
              </w:rPr>
              <w:t>Shanghai Jiao Tong University (SJTU), Shanghai, China</w:t>
            </w:r>
            <w:r>
              <w:br w:type="textWrapping"/>
            </w:r>
            <w:r>
              <w:t>Ph.D. Candidate in Mechanical Engineering</w:t>
            </w:r>
            <w:r>
              <w:br w:type="textWrapping"/>
            </w:r>
            <w:r>
              <w:t xml:space="preserve">Dissertation: </w:t>
            </w:r>
            <w:r>
              <w:rPr>
                <w:rFonts w:hint="eastAsia"/>
              </w:rPr>
              <w:t>Research on Semantic Perception, Dynamic Stability, and Policy Learning Methods for Humanoid Robots in Harvesting Tasks</w:t>
            </w:r>
            <w:r>
              <w:br w:type="textWrapping"/>
            </w:r>
            <w:r>
              <w:t>Advisors: Prof. Han Ding (</w:t>
            </w:r>
            <w:r>
              <w:rPr>
                <w:rFonts w:hint="eastAsia"/>
              </w:rPr>
              <w:t>Member of the Chinese Academy of Sciences</w:t>
            </w:r>
            <w:r>
              <w:t>) and Prof. Zhenhua Xiong</w:t>
            </w:r>
          </w:p>
        </w:tc>
        <w:tc>
          <w:tcPr>
            <w:tcW w:w="1150" w:type="dxa"/>
            <w:tcMar>
              <w:top w:w="0" w:type="dxa"/>
              <w:left w:w="0" w:type="dxa"/>
              <w:bottom w:w="8" w:type="dxa"/>
              <w:right w:w="0" w:type="dxa"/>
            </w:tcMar>
            <w:vAlign w:val="top"/>
          </w:tcPr>
          <w:p w14:paraId="57792956">
            <w:pPr>
              <w:pStyle w:val="16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</w:pPr>
            <w:r>
              <w:rPr>
                <w:i/>
              </w:rPr>
              <w:t>Sep. 2021–Sep. 2026</w:t>
            </w:r>
          </w:p>
        </w:tc>
      </w:tr>
      <w:tr w14:paraId="024553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65" w:type="dxa"/>
            <w:tcMar>
              <w:top w:w="0" w:type="dxa"/>
              <w:left w:w="0" w:type="dxa"/>
              <w:bottom w:w="8" w:type="dxa"/>
              <w:right w:w="0" w:type="dxa"/>
            </w:tcMar>
            <w:vAlign w:val="top"/>
          </w:tcPr>
          <w:p w14:paraId="2C91D7E9">
            <w:pPr>
              <w:pStyle w:val="16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textAlignment w:val="auto"/>
            </w:pPr>
            <w:r>
              <w:rPr>
                <w:b/>
              </w:rPr>
              <w:t>Yanshan University (YSU), Hebei, China</w:t>
            </w:r>
            <w:r>
              <w:br w:type="textWrapping"/>
            </w:r>
            <w:r>
              <w:t>B.Eng. in Automation; ranked 1st of 373 students</w:t>
            </w:r>
          </w:p>
        </w:tc>
        <w:tc>
          <w:tcPr>
            <w:tcW w:w="1150" w:type="dxa"/>
            <w:tcMar>
              <w:top w:w="0" w:type="dxa"/>
              <w:left w:w="0" w:type="dxa"/>
              <w:bottom w:w="8" w:type="dxa"/>
              <w:right w:w="0" w:type="dxa"/>
            </w:tcMar>
            <w:vAlign w:val="top"/>
          </w:tcPr>
          <w:p w14:paraId="4007336E">
            <w:pPr>
              <w:pStyle w:val="16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</w:pPr>
            <w:r>
              <w:rPr>
                <w:i/>
              </w:rPr>
              <w:t>Sep. 2017–Jun. 2021</w:t>
            </w:r>
          </w:p>
        </w:tc>
      </w:tr>
    </w:tbl>
    <w:p w14:paraId="5A28C31E">
      <w:pPr>
        <w:keepNext w:val="0"/>
        <w:keepLines w:val="0"/>
        <w:pageBreakBefore w:val="0"/>
        <w:widowControl/>
        <w:pBdr>
          <w:bottom w:val="single" w:color="444444" w:sz="6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40" w:line="240" w:lineRule="exact"/>
        <w:textAlignment w:val="auto"/>
      </w:pPr>
      <w:r>
        <w:rPr>
          <w:rFonts w:ascii="Arial" w:hAnsi="Arial" w:eastAsia="Arial"/>
          <w:b/>
          <w:sz w:val="20"/>
        </w:rPr>
        <w:t>SELECTED RESEARCH EXPERIENCE</w:t>
      </w:r>
    </w:p>
    <w:tbl>
      <w:tblPr>
        <w:tblStyle w:val="32"/>
        <w:tblW w:w="1055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56"/>
        <w:gridCol w:w="1800"/>
      </w:tblGrid>
      <w:tr w14:paraId="6308E9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56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EA6F199">
            <w:pPr>
              <w:pStyle w:val="16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textAlignment w:val="auto"/>
            </w:pPr>
            <w:r>
              <w:rPr>
                <w:b/>
                <w:sz w:val="18"/>
              </w:rPr>
              <w:t>MotionVL: Vision-Language Supervision for Humanoid Reinforcement Learning</w:t>
            </w:r>
          </w:p>
        </w:tc>
        <w:tc>
          <w:tcPr>
            <w:tcW w:w="1800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68D85D3">
            <w:pPr>
              <w:pStyle w:val="16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jc w:val="right"/>
              <w:textAlignment w:val="auto"/>
            </w:pPr>
            <w:r>
              <w:rPr>
                <w:i/>
                <w:sz w:val="17"/>
              </w:rPr>
              <w:t>2026</w:t>
            </w:r>
          </w:p>
        </w:tc>
      </w:tr>
    </w:tbl>
    <w:p w14:paraId="64563838">
      <w:pPr>
        <w:pStyle w:val="16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4" w:line="240" w:lineRule="exact"/>
        <w:textAlignment w:val="auto"/>
      </w:pPr>
      <w:r>
        <w:rPr>
          <w:i/>
        </w:rPr>
        <w:t>Humanoid robot learning, multimodal supervision, reinforcement learning</w:t>
      </w:r>
    </w:p>
    <w:p w14:paraId="50E54FAA">
      <w:pPr>
        <w:pStyle w:val="16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t>• Developed a closed-loop framework integrating task instructions, VLM-based motion diagnosis, LLM-generated reward functions, and PPO policy optimization.</w:t>
      </w:r>
    </w:p>
    <w:p w14:paraId="542B94B2">
      <w:pPr>
        <w:pStyle w:val="16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t>• Evaluated straight-knee walking, running, continuous jumping, and single-foot balance across multiple reward candidates and random seeds; deployed straight-knee locomotion on a physical humanoid robot.</w:t>
      </w:r>
    </w:p>
    <w:p w14:paraId="6626B7E6">
      <w:pPr>
        <w:pStyle w:val="16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t>• Established a structured reward dictionary and numerical gating mechanism to improve reward reliability and reduce manual reward-engineering effort.</w:t>
      </w:r>
    </w:p>
    <w:tbl>
      <w:tblPr>
        <w:tblStyle w:val="32"/>
        <w:tblW w:w="1056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63"/>
        <w:gridCol w:w="1800"/>
      </w:tblGrid>
      <w:tr w14:paraId="301ACF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63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85FB6C3">
            <w:pPr>
              <w:pStyle w:val="16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textAlignment w:val="auto"/>
            </w:pPr>
            <w:r>
              <w:rPr>
                <w:b/>
                <w:sz w:val="18"/>
              </w:rPr>
              <w:t>DCM-TVDW: Dynamic Stable Walking under Terrain-Induced Time-Varying Disturbances</w:t>
            </w:r>
          </w:p>
        </w:tc>
        <w:tc>
          <w:tcPr>
            <w:tcW w:w="1800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B965517">
            <w:pPr>
              <w:pStyle w:val="16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jc w:val="right"/>
              <w:textAlignment w:val="auto"/>
            </w:pPr>
            <w:r>
              <w:rPr>
                <w:i/>
                <w:sz w:val="17"/>
              </w:rPr>
              <w:t>2025</w:t>
            </w:r>
          </w:p>
        </w:tc>
      </w:tr>
    </w:tbl>
    <w:p w14:paraId="0C9F3DD2">
      <w:pPr>
        <w:pStyle w:val="16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4" w:line="240" w:lineRule="exact"/>
        <w:textAlignment w:val="auto"/>
      </w:pPr>
      <w:r>
        <w:rPr>
          <w:i/>
        </w:rPr>
        <w:t>Humanoid dynamics, capturability analysis, robust locomotion control</w:t>
      </w:r>
    </w:p>
    <w:p w14:paraId="6D15AC90">
      <w:pPr>
        <w:pStyle w:val="16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t xml:space="preserve">• Proposed a DCM-based walking controller combining </w:t>
      </w:r>
      <w:r>
        <w:rPr>
          <w:rFonts w:hint="eastAsia"/>
        </w:rPr>
        <w:t>hybrid support–flight dynamics</w:t>
      </w:r>
      <w:r>
        <w:t>, N-step capturability, variable-height stabilization, and online coordination of center-of-mass height, step height, foothold, and gait phase.</w:t>
      </w:r>
    </w:p>
    <w:p w14:paraId="64292E1F">
      <w:pPr>
        <w:pStyle w:val="16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t>• Validated dynamic recovery and locomotion stability on flat ground, moving platforms, rough terrain, and grass, with simulation and physical experiments.</w:t>
      </w:r>
    </w:p>
    <w:p w14:paraId="7521883A">
      <w:pPr>
        <w:pStyle w:val="16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t xml:space="preserve">• </w:t>
      </w:r>
      <w:r>
        <w:rPr>
          <w:rFonts w:hint="eastAsia"/>
        </w:rPr>
        <w:t>Developed a real-time convex optimization scheme for coordinated adjustment of center-of-mass height, step clearance, foothold, and gait phase.</w:t>
      </w:r>
    </w:p>
    <w:tbl>
      <w:tblPr>
        <w:tblStyle w:val="32"/>
        <w:tblW w:w="1056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60"/>
        <w:gridCol w:w="1800"/>
      </w:tblGrid>
      <w:tr w14:paraId="3B671B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60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9934168">
            <w:pPr>
              <w:pStyle w:val="16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textAlignment w:val="auto"/>
            </w:pPr>
            <w:r>
              <w:rPr>
                <w:rFonts w:hint="eastAsia"/>
                <w:b/>
                <w:bCs/>
              </w:rPr>
              <w:t>TOVEP: Visual–Geometric Enhancement for VLM-Guided Robotic Picking</w:t>
            </w:r>
          </w:p>
        </w:tc>
        <w:tc>
          <w:tcPr>
            <w:tcW w:w="1800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D5D33FD">
            <w:pPr>
              <w:pStyle w:val="16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jc w:val="right"/>
              <w:textAlignment w:val="auto"/>
            </w:pPr>
            <w:r>
              <w:rPr>
                <w:i/>
                <w:sz w:val="17"/>
              </w:rPr>
              <w:t>2026</w:t>
            </w:r>
          </w:p>
        </w:tc>
      </w:tr>
    </w:tbl>
    <w:p w14:paraId="0AD641DD">
      <w:pPr>
        <w:pStyle w:val="16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4" w:line="240" w:lineRule="exact"/>
        <w:textAlignment w:val="auto"/>
        <w:rPr>
          <w:i/>
        </w:rPr>
      </w:pPr>
      <w:r>
        <w:rPr>
          <w:rFonts w:hint="eastAsia"/>
          <w:i/>
        </w:rPr>
        <w:t>Visua</w:t>
      </w:r>
      <w:r>
        <w:rPr>
          <w:rFonts w:hint="eastAsia" w:eastAsia="宋体"/>
          <w:i/>
          <w:lang w:val="en-US" w:eastAsia="zh-CN"/>
        </w:rPr>
        <w:t>l</w:t>
      </w:r>
      <w:r>
        <w:rPr>
          <w:rFonts w:hint="eastAsia"/>
          <w:i/>
        </w:rPr>
        <w:t>-geometric RGB-D perception, structure-guided VLM reasoning, task-oriented picking</w:t>
      </w:r>
      <w:r>
        <w:rPr>
          <w:rFonts w:hint="eastAsia" w:eastAsia="宋体"/>
          <w:i/>
          <w:lang w:val="en-US" w:eastAsia="zh-CN"/>
        </w:rPr>
        <w:t xml:space="preserve"> </w:t>
      </w:r>
      <w:r>
        <w:rPr>
          <w:rFonts w:hint="eastAsia"/>
          <w:i/>
        </w:rPr>
        <w:t>pose generation</w:t>
      </w:r>
    </w:p>
    <w:p w14:paraId="0064E922">
      <w:pPr>
        <w:pStyle w:val="16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2" w:line="240" w:lineRule="exact"/>
        <w:textAlignment w:val="auto"/>
      </w:pPr>
      <w:r>
        <w:rPr>
          <w:b w:val="0"/>
          <w:i w:val="0"/>
          <w:sz w:val="18"/>
        </w:rPr>
        <w:t>• Proposed TOVEP, a task-oriented visual-geometric evidence enhancement framework that transforms noisy RGB-D observations into refined depth, structural-support, and confidence representations, explicitly grounding VLM reasoning in actionable geometry.</w:t>
      </w:r>
    </w:p>
    <w:p w14:paraId="6CA403D3">
      <w:pPr>
        <w:pStyle w:val="16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2" w:line="240" w:lineRule="exact"/>
        <w:textAlignment w:val="auto"/>
      </w:pPr>
      <w:r>
        <w:rPr>
          <w:b w:val="0"/>
          <w:i w:val="0"/>
          <w:sz w:val="18"/>
        </w:rPr>
        <w:t xml:space="preserve">• Introduced </w:t>
      </w:r>
      <w:r>
        <w:rPr>
          <w:rFonts w:hint="eastAsia"/>
          <w:b w:val="0"/>
          <w:i w:val="0"/>
          <w:sz w:val="18"/>
        </w:rPr>
        <w:t>structure-aware candidate generation and confidence-guided semantic inference to identify actionable grasp/cut attachment regions beyond conventional object-center localization, improving robustness to occlusion, reflective surfaces, missing depth, and visually ambiguous plant structures.</w:t>
      </w:r>
    </w:p>
    <w:p w14:paraId="219522C2">
      <w:pPr>
        <w:pStyle w:val="16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2" w:line="240" w:lineRule="exact"/>
        <w:textAlignment w:val="auto"/>
      </w:pPr>
      <w:r>
        <w:rPr>
          <w:b w:val="0"/>
          <w:i w:val="0"/>
          <w:sz w:val="18"/>
        </w:rPr>
        <w:t>• Established a multi-crop RGB-D evaluation set and demonstrated consistent gains over RGB-only and raw-depth baselines without VLM fine-tuning, providing a plug-and-play geometric grounding interface for embodied manipulation.</w:t>
      </w:r>
    </w:p>
    <w:tbl>
      <w:tblPr>
        <w:tblStyle w:val="32"/>
        <w:tblW w:w="1055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50"/>
        <w:gridCol w:w="1800"/>
      </w:tblGrid>
      <w:tr w14:paraId="2909C2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50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E9238E6">
            <w:pPr>
              <w:pStyle w:val="16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textAlignment w:val="auto"/>
            </w:pPr>
            <w:r>
              <w:rPr>
                <w:b/>
                <w:sz w:val="18"/>
              </w:rPr>
              <w:t>Teleoperation and Vision-Language-Action Manipulation</w:t>
            </w:r>
          </w:p>
        </w:tc>
        <w:tc>
          <w:tcPr>
            <w:tcW w:w="1800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5042553">
            <w:pPr>
              <w:pStyle w:val="16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jc w:val="right"/>
              <w:textAlignment w:val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i/>
                <w:sz w:val="17"/>
                <w:lang w:val="en-US" w:eastAsia="zh-CN"/>
              </w:rPr>
              <w:t>2024</w:t>
            </w:r>
          </w:p>
        </w:tc>
      </w:tr>
    </w:tbl>
    <w:p w14:paraId="2827E7EB">
      <w:pPr>
        <w:pStyle w:val="16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4" w:line="240" w:lineRule="exact"/>
        <w:textAlignment w:val="auto"/>
        <w:rPr>
          <w:rFonts w:hint="eastAsia"/>
          <w:i/>
        </w:rPr>
      </w:pPr>
      <w:r>
        <w:rPr>
          <w:rFonts w:hint="eastAsia"/>
          <w:i/>
        </w:rPr>
        <w:t>Generalist robot foundation models, scalable embodied data generation, reinforcement-learning-based policy refinement</w:t>
      </w:r>
    </w:p>
    <w:p w14:paraId="7E0737AB">
      <w:pPr>
        <w:pStyle w:val="16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2" w:line="240" w:lineRule="exact"/>
        <w:textAlignment w:val="auto"/>
        <w:rPr>
          <w:b w:val="0"/>
          <w:i w:val="0"/>
          <w:sz w:val="18"/>
        </w:rPr>
      </w:pPr>
      <w:r>
        <w:rPr>
          <w:b w:val="0"/>
          <w:i w:val="0"/>
          <w:sz w:val="18"/>
        </w:rPr>
        <w:t xml:space="preserve">• </w:t>
      </w:r>
      <w:r>
        <w:rPr>
          <w:rFonts w:hint="eastAsia"/>
          <w:b w:val="0"/>
          <w:i w:val="0"/>
          <w:sz w:val="18"/>
        </w:rPr>
        <w:t>Developed a unified VLA training platform with an integrated UI, covering teleoperation-based data collection, dataset processing and inspection, training configuration, checkpoint management, policy deployment, robot reset, and closed-loop evaluation.</w:t>
      </w:r>
    </w:p>
    <w:p w14:paraId="0BAFBC3F">
      <w:pPr>
        <w:pStyle w:val="16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2" w:line="240" w:lineRule="exact"/>
        <w:textAlignment w:val="auto"/>
        <w:rPr>
          <w:rFonts w:hint="eastAsia"/>
          <w:b w:val="0"/>
          <w:i w:val="0"/>
          <w:sz w:val="18"/>
        </w:rPr>
      </w:pPr>
      <w:r>
        <w:rPr>
          <w:b w:val="0"/>
          <w:i w:val="0"/>
          <w:sz w:val="18"/>
        </w:rPr>
        <w:t xml:space="preserve">• </w:t>
      </w:r>
      <w:r>
        <w:rPr>
          <w:rFonts w:hint="eastAsia"/>
          <w:b w:val="0"/>
          <w:i w:val="0"/>
          <w:sz w:val="18"/>
        </w:rPr>
        <w:t>Built a modular VLA training stack supporting flow-based policy adaptation, action chunking, scalable rollout collection, and reinforcement-learning post-training for long-horizon manipulation.</w:t>
      </w:r>
    </w:p>
    <w:p w14:paraId="00DA9C63">
      <w:pPr>
        <w:pStyle w:val="16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2" w:line="240" w:lineRule="exact"/>
        <w:textAlignment w:val="auto"/>
        <w:rPr>
          <w:rFonts w:hint="eastAsia" w:eastAsia="宋体"/>
          <w:b w:val="0"/>
          <w:i w:val="0"/>
          <w:sz w:val="18"/>
          <w:lang w:val="en-US" w:eastAsia="zh-CN"/>
        </w:rPr>
      </w:pPr>
      <w:r>
        <w:rPr>
          <w:b w:val="0"/>
          <w:i w:val="0"/>
          <w:sz w:val="18"/>
        </w:rPr>
        <w:t xml:space="preserve">• </w:t>
      </w:r>
      <w:r>
        <w:rPr>
          <w:rFonts w:hint="eastAsia"/>
          <w:b w:val="0"/>
          <w:i w:val="0"/>
          <w:sz w:val="18"/>
        </w:rPr>
        <w:t>Integrated RGB-D perception, VLM task reasoning, visual servo control, and ROS/SDK interfaces into a closed-loop perception–policy–execution pipeline for dual-arm and humanoid manipulation.</w:t>
      </w:r>
      <w:r>
        <w:rPr>
          <w:rFonts w:hint="eastAsia" w:eastAsia="宋体"/>
          <w:b w:val="0"/>
          <w:i w:val="0"/>
          <w:sz w:val="18"/>
          <w:lang w:val="en-US" w:eastAsia="zh-CN"/>
        </w:rPr>
        <w:t xml:space="preserve"> </w:t>
      </w:r>
    </w:p>
    <w:p w14:paraId="29D49818">
      <w:pPr>
        <w:keepNext w:val="0"/>
        <w:keepLines w:val="0"/>
        <w:widowControl/>
        <w:pBdr>
          <w:bottom w:val="single" w:color="444444" w:sz="6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40" w:line="240" w:lineRule="exact"/>
        <w:textAlignment w:val="auto"/>
      </w:pPr>
      <w:r>
        <w:rPr>
          <w:rFonts w:ascii="Arial" w:hAnsi="Arial" w:eastAsia="Arial"/>
          <w:b/>
          <w:sz w:val="20"/>
        </w:rPr>
        <w:t>SELECTED PUBLICATIONS</w:t>
      </w:r>
    </w:p>
    <w:p w14:paraId="6455800D">
      <w:pPr>
        <w:pStyle w:val="167"/>
        <w:keepNext w:val="0"/>
        <w:keepLines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exact"/>
        <w:textAlignment w:val="auto"/>
      </w:pPr>
      <w:r>
        <w:rPr>
          <w:i/>
          <w:sz w:val="17"/>
        </w:rPr>
        <w:t>(Candidate name shown in bold; publication status indicated where applicable)</w:t>
      </w:r>
    </w:p>
    <w:p w14:paraId="7B86D765">
      <w:pPr>
        <w:pStyle w:val="167"/>
        <w:keepNext w:val="0"/>
        <w:keepLines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8" w:line="240" w:lineRule="exact"/>
        <w:ind w:left="230" w:hanging="230"/>
        <w:textAlignment w:val="auto"/>
      </w:pPr>
      <w:r>
        <w:t xml:space="preserve">1. </w:t>
      </w:r>
      <w:r>
        <w:rPr>
          <w:b/>
        </w:rPr>
        <w:t>Yan Luo</w:t>
      </w:r>
      <w:r>
        <w:t xml:space="preserve">, Zexi Bo, Ruonan Liu, Zhenhua Xiong, and Han Ding. “TOVEP: Visual–Geometric Evidence Enhancement for VLM-Guided Fruit Picking-Point Localization.” </w:t>
      </w:r>
      <w:r>
        <w:rPr>
          <w:rFonts w:hint="eastAsia"/>
        </w:rPr>
        <w:t xml:space="preserve">Manuscript under review at </w:t>
      </w:r>
      <w:r>
        <w:rPr>
          <w:rFonts w:hint="eastAsia"/>
          <w:i/>
          <w:iCs/>
        </w:rPr>
        <w:t>Computers and Electronics in Agriculture.</w:t>
      </w:r>
    </w:p>
    <w:p w14:paraId="3395C1E9">
      <w:pPr>
        <w:pStyle w:val="167"/>
        <w:keepNext w:val="0"/>
        <w:keepLines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8" w:line="240" w:lineRule="exact"/>
        <w:ind w:left="230" w:hanging="230"/>
        <w:textAlignment w:val="auto"/>
      </w:pPr>
      <w:r>
        <w:t xml:space="preserve">2. </w:t>
      </w:r>
      <w:r>
        <w:rPr>
          <w:b/>
        </w:rPr>
        <w:t>Yan Luo</w:t>
      </w:r>
      <w:r>
        <w:t xml:space="preserve">, J. Wu, Z. Xiong, and H. Ding. “MotionVL: Vision-Language Supervision for Reinforcement Learning of Humanoid Motion.” </w:t>
      </w:r>
      <w:r>
        <w:rPr>
          <w:i/>
          <w:iCs/>
        </w:rPr>
        <w:t>IEEE Robotics and Automation Letters</w:t>
      </w:r>
      <w:r>
        <w:t>, vol. 11, no. 5, pp. 5717–5724, 2026.</w:t>
      </w:r>
    </w:p>
    <w:p w14:paraId="03754EB5">
      <w:pPr>
        <w:pStyle w:val="167"/>
        <w:keepNext w:val="0"/>
        <w:keepLines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8" w:line="240" w:lineRule="exact"/>
        <w:ind w:left="230" w:hanging="230"/>
        <w:textAlignment w:val="auto"/>
      </w:pPr>
      <w:r>
        <w:t xml:space="preserve">3. </w:t>
      </w:r>
      <w:r>
        <w:rPr>
          <w:b/>
        </w:rPr>
        <w:t>Yan Luo</w:t>
      </w:r>
      <w:r>
        <w:t xml:space="preserve">, C. Liu, J. Wu, Z. Xiong, and H. Ding. “DCM-Based Dynamic Stable Walking under Terrain-Induced Time-Varying Disturbances for Humanoid Robots.” </w:t>
      </w:r>
      <w:r>
        <w:rPr>
          <w:i/>
          <w:iCs/>
        </w:rPr>
        <w:t>Science China Technological Sciences</w:t>
      </w:r>
      <w:r>
        <w:t>, vol. 68, no. 4, article 1420301, 2025.</w:t>
      </w:r>
    </w:p>
    <w:p w14:paraId="2F4ED3D3">
      <w:pPr>
        <w:pStyle w:val="167"/>
        <w:keepNext w:val="0"/>
        <w:keepLines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8" w:line="240" w:lineRule="exact"/>
        <w:ind w:left="230" w:hanging="230"/>
        <w:textAlignment w:val="auto"/>
      </w:pPr>
      <w:r>
        <w:t xml:space="preserve">4. F. Pang, Y. Chen, </w:t>
      </w:r>
      <w:r>
        <w:rPr>
          <w:b/>
        </w:rPr>
        <w:t>Yan Luo</w:t>
      </w:r>
      <w:r>
        <w:t>, Z. Lv, X. Sun, X. Xu, and M. Luo. “A Fast Obstacle Detection Algorithm Based on 3D LiDAR and Multiple Depth Cameras for Unmanned Ground Vehicles.”</w:t>
      </w:r>
      <w:r>
        <w:rPr>
          <w:i/>
          <w:iCs/>
        </w:rPr>
        <w:t xml:space="preserve"> Drones</w:t>
      </w:r>
      <w:r>
        <w:t>, vol. 8, no. 11, 2024.</w:t>
      </w:r>
    </w:p>
    <w:p w14:paraId="369BCDCE">
      <w:pPr>
        <w:pStyle w:val="167"/>
        <w:keepNext w:val="0"/>
        <w:keepLines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8" w:line="240" w:lineRule="exact"/>
        <w:ind w:left="230" w:hanging="230"/>
        <w:textAlignment w:val="auto"/>
      </w:pPr>
      <w:r>
        <w:t xml:space="preserve">5. </w:t>
      </w:r>
      <w:r>
        <w:rPr>
          <w:b/>
        </w:rPr>
        <w:t>Yan Luo</w:t>
      </w:r>
      <w:r>
        <w:t xml:space="preserve">, G. Chen, C. Liu, and Z. Xiong. “Image Foreground Segmentation Based on Small Data Set for Visual Servo Applications.” Proceedings of the </w:t>
      </w:r>
      <w:r>
        <w:rPr>
          <w:i/>
          <w:iCs/>
        </w:rPr>
        <w:t>IEEE/ASME International Conference on Advanced Intelligent Mechatronics (AIM)</w:t>
      </w:r>
      <w:r>
        <w:t>, Seattle, USA, pp. 715–720, 2023.</w:t>
      </w:r>
    </w:p>
    <w:p w14:paraId="4495A841">
      <w:pPr>
        <w:pStyle w:val="167"/>
        <w:keepNext w:val="0"/>
        <w:keepLines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8" w:line="240" w:lineRule="exact"/>
        <w:ind w:left="230" w:hanging="230"/>
        <w:textAlignment w:val="auto"/>
      </w:pPr>
      <w:r>
        <w:t xml:space="preserve">6. G. Chen, </w:t>
      </w:r>
      <w:r>
        <w:rPr>
          <w:b/>
        </w:rPr>
        <w:t>Yan Luo</w:t>
      </w:r>
      <w:r>
        <w:t xml:space="preserve">, B. Huang, et al. “BP Neural Network–Fuzzy Control-Based Uncalibrated Visual Servoing Technology for Robots.” </w:t>
      </w:r>
      <w:r>
        <w:rPr>
          <w:i/>
          <w:iCs/>
        </w:rPr>
        <w:t>Science, Technology and Engineering</w:t>
      </w:r>
      <w:r>
        <w:t>, 2023.</w:t>
      </w:r>
    </w:p>
    <w:p w14:paraId="1AD4A150">
      <w:pPr>
        <w:pStyle w:val="167"/>
        <w:keepNext w:val="0"/>
        <w:keepLines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8" w:line="240" w:lineRule="exact"/>
        <w:ind w:left="230" w:hanging="230"/>
        <w:textAlignment w:val="auto"/>
      </w:pPr>
      <w:r>
        <w:rPr>
          <w:b/>
        </w:rPr>
        <w:t xml:space="preserve">7. </w:t>
      </w:r>
      <w:r>
        <w:t xml:space="preserve">M. Zhang, </w:t>
      </w:r>
      <w:r>
        <w:rPr>
          <w:b/>
        </w:rPr>
        <w:t>Yan Luo</w:t>
      </w:r>
      <w:r>
        <w:t xml:space="preserve">, G. Chen, et al. “Design and Research of an Intelligent Maintenance Robot for a Nuclear-Power-Plant Steam Generator.” </w:t>
      </w:r>
      <w:r>
        <w:rPr>
          <w:i/>
          <w:iCs/>
        </w:rPr>
        <w:t>Science, Technology and Engineering</w:t>
      </w:r>
      <w:r>
        <w:t>, vol. 23, no. 22, pp. 9559–9566, 2023.</w:t>
      </w:r>
    </w:p>
    <w:p w14:paraId="7224DA8D">
      <w:pPr>
        <w:keepNext w:val="0"/>
        <w:keepLines w:val="0"/>
        <w:widowControl/>
        <w:pBdr>
          <w:bottom w:val="single" w:color="444444" w:sz="6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40" w:line="240" w:lineRule="exact"/>
        <w:textAlignment w:val="auto"/>
      </w:pPr>
      <w:r>
        <w:rPr>
          <w:rFonts w:ascii="Arial" w:hAnsi="Arial"/>
          <w:b/>
          <w:sz w:val="20"/>
        </w:rPr>
        <w:t xml:space="preserve">RESEARCH LEADERSHIP AND </w:t>
      </w:r>
      <w:r>
        <w:rPr>
          <w:rFonts w:hint="eastAsia" w:ascii="Arial" w:hAnsi="Arial"/>
          <w:b/>
          <w:sz w:val="20"/>
        </w:rPr>
        <w:t>SELECTED</w:t>
      </w:r>
      <w:r>
        <w:rPr>
          <w:rFonts w:ascii="Arial" w:hAnsi="Arial"/>
          <w:b/>
          <w:sz w:val="20"/>
        </w:rPr>
        <w:t xml:space="preserve"> PROJECTS</w:t>
      </w:r>
    </w:p>
    <w:p w14:paraId="39051451">
      <w:pPr>
        <w:keepNext w:val="0"/>
        <w:keepLines w:val="0"/>
        <w:widowControl/>
        <w:pBdr>
          <w:bottom w:val="single" w:color="444444" w:sz="6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40" w:line="240" w:lineRule="exact"/>
        <w:textAlignment w:val="auto"/>
        <w:rPr>
          <w:rFonts w:hint="eastAsia"/>
        </w:rPr>
      </w:pPr>
      <w:r>
        <w:t xml:space="preserve">• </w:t>
      </w:r>
      <w:r>
        <w:rPr>
          <w:rFonts w:hint="eastAsia"/>
          <w:b/>
          <w:bCs/>
        </w:rPr>
        <w:t xml:space="preserve">Wheeled Humanoid Robot Development </w:t>
      </w:r>
      <w:r>
        <w:rPr>
          <w:rFonts w:hint="eastAsia"/>
        </w:rPr>
        <w:t>— Led end-to-end platform development, spanning mechanical design, hardware integration, motion control, and manipulation;</w:t>
      </w:r>
      <w:r>
        <w:rPr>
          <w:rFonts w:hint="eastAsia" w:eastAsia="宋体"/>
          <w:lang w:val="en-US" w:eastAsia="zh-CN"/>
        </w:rPr>
        <w:t xml:space="preserve"> </w:t>
      </w:r>
      <w:r>
        <w:rPr>
          <w:rFonts w:hint="eastAsia"/>
        </w:rPr>
        <w:t>culminated in a piano-playing demonstration featured in national news media.</w:t>
      </w:r>
    </w:p>
    <w:p w14:paraId="6EBEB036">
      <w:pPr>
        <w:keepNext w:val="0"/>
        <w:keepLines w:val="0"/>
        <w:widowControl/>
        <w:pBdr>
          <w:bottom w:val="single" w:color="444444" w:sz="6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40" w:line="240" w:lineRule="exact"/>
        <w:textAlignment w:val="auto"/>
        <w:rPr>
          <w:rFonts w:hint="eastAsia"/>
        </w:rPr>
      </w:pPr>
      <w:r>
        <w:t>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Humanoid Dynamic Balance Control </w:t>
      </w:r>
      <w:r>
        <w:rPr>
          <w:rFonts w:hint="eastAsia"/>
        </w:rPr>
        <w:t>— Technical lead for projects supported by the Jiangsu Provincial Frontier Leading Technology Basic Research Program and the Jiangsu Industrial Transformation and Upgrading Program; led controller development, simulation, and physical validation.</w:t>
      </w:r>
    </w:p>
    <w:p w14:paraId="5EC2C2BA">
      <w:pPr>
        <w:keepNext w:val="0"/>
        <w:keepLines w:val="0"/>
        <w:widowControl/>
        <w:pBdr>
          <w:bottom w:val="single" w:color="444444" w:sz="6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40" w:line="240" w:lineRule="exact"/>
        <w:textAlignment w:val="auto"/>
        <w:rPr>
          <w:rFonts w:hint="eastAsia"/>
        </w:rPr>
      </w:pPr>
      <w:r>
        <w:t>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Vision</w:t>
      </w:r>
      <w:r>
        <w:rPr>
          <w:rFonts w:hint="eastAsia"/>
          <w:b/>
          <w:bCs/>
        </w:rPr>
        <w:t>–Language</w:t>
      </w:r>
      <w:r>
        <w:rPr>
          <w:rFonts w:hint="eastAsia"/>
          <w:b/>
          <w:bCs/>
        </w:rPr>
        <w:t>–Action Robot Learning</w:t>
      </w:r>
      <w:r>
        <w:rPr>
          <w:rFonts w:hint="eastAsia"/>
        </w:rPr>
        <w:t xml:space="preserve"> — Led teleoperation data pipelines, VLA training and adaptation, RGB-D perception, visual servoing, and real-robot deployment on humanoid and dual-arm platforms.</w:t>
      </w:r>
    </w:p>
    <w:p w14:paraId="39B5BE72">
      <w:pPr>
        <w:keepNext w:val="0"/>
        <w:keepLines w:val="0"/>
        <w:widowControl/>
        <w:pBdr>
          <w:bottom w:val="single" w:color="444444" w:sz="6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40" w:line="240" w:lineRule="exact"/>
        <w:textAlignment w:val="auto"/>
      </w:pPr>
      <w:r>
        <w:rPr>
          <w:rFonts w:ascii="Arial" w:hAnsi="Arial" w:eastAsia="Arial"/>
          <w:b/>
          <w:sz w:val="20"/>
        </w:rPr>
        <w:t>PATENTS AND STANDARD</w:t>
      </w:r>
    </w:p>
    <w:p w14:paraId="17042895">
      <w:pPr>
        <w:pStyle w:val="167"/>
        <w:keepNext w:val="0"/>
        <w:keepLines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t>• Technical Requirements for Humanoid Robotics, T/CIET 648–2024, principal contributor, 2024.</w:t>
      </w:r>
    </w:p>
    <w:p w14:paraId="4AF9FC5A">
      <w:pPr>
        <w:pStyle w:val="167"/>
        <w:keepNext w:val="0"/>
        <w:keepLines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t>• A Method for Remote Operation Control of a Semi-Humanoid Robot Based on VR Devices, authorized invention patent, second inventor, 2025.</w:t>
      </w:r>
    </w:p>
    <w:p w14:paraId="245D4F9C">
      <w:pPr>
        <w:pStyle w:val="167"/>
        <w:keepNext w:val="0"/>
        <w:keepLines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t>• A Visual Servo Method Based on Multiple Image-Feature Fusion, authorized invention patent, second inventor, 2022.</w:t>
      </w:r>
    </w:p>
    <w:p w14:paraId="782CB279">
      <w:pPr>
        <w:pStyle w:val="167"/>
        <w:keepNext w:val="0"/>
        <w:keepLines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t>• A Cross-Modal Alignment Vision-Language Navigation Method in Dynamic Occlusion Environments, published invention patent application, third inventor, 2025.</w:t>
      </w:r>
    </w:p>
    <w:p w14:paraId="43611A7C">
      <w:pPr>
        <w:keepNext w:val="0"/>
        <w:keepLines w:val="0"/>
        <w:widowControl/>
        <w:pBdr>
          <w:bottom w:val="single" w:color="444444" w:sz="6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40" w:line="240" w:lineRule="exact"/>
        <w:textAlignment w:val="auto"/>
      </w:pPr>
      <w:r>
        <w:rPr>
          <w:rFonts w:ascii="Arial" w:hAnsi="Arial" w:eastAsia="Arial"/>
          <w:b/>
          <w:sz w:val="20"/>
        </w:rPr>
        <w:t>SELECTED HONORS AND AWARDS</w:t>
      </w:r>
    </w:p>
    <w:tbl>
      <w:tblPr>
        <w:tblStyle w:val="32"/>
        <w:tblW w:w="1055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7"/>
        <w:gridCol w:w="5616"/>
      </w:tblGrid>
      <w:tr w14:paraId="1DFA8A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37" w:type="dxa"/>
            <w:tcMar>
              <w:top w:w="0" w:type="dxa"/>
              <w:left w:w="0" w:type="dxa"/>
              <w:bottom w:w="5" w:type="dxa"/>
              <w:right w:w="60" w:type="dxa"/>
            </w:tcMar>
          </w:tcPr>
          <w:p w14:paraId="0BFE73BE">
            <w:pPr>
              <w:pStyle w:val="167"/>
              <w:keepNext w:val="0"/>
              <w:keepLines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textAlignment w:val="auto"/>
            </w:pPr>
            <w:r>
              <w:t>• Outstanding Graduate, Shanghai Jiao Tong University</w:t>
            </w:r>
            <w:r>
              <w:rPr>
                <w:i/>
              </w:rPr>
              <w:t xml:space="preserve"> (202</w:t>
            </w:r>
            <w:r>
              <w:rPr>
                <w:rFonts w:hint="eastAsia" w:eastAsia="宋体"/>
                <w:i/>
                <w:lang w:val="en-US" w:eastAsia="zh-CN"/>
              </w:rPr>
              <w:t>6</w:t>
            </w:r>
            <w:r>
              <w:rPr>
                <w:i/>
              </w:rPr>
              <w:t>)</w:t>
            </w:r>
          </w:p>
        </w:tc>
        <w:tc>
          <w:tcPr>
            <w:tcW w:w="5616" w:type="dxa"/>
            <w:tcMar>
              <w:top w:w="0" w:type="dxa"/>
              <w:left w:w="0" w:type="dxa"/>
              <w:bottom w:w="5" w:type="dxa"/>
              <w:right w:w="0" w:type="dxa"/>
            </w:tcMar>
          </w:tcPr>
          <w:p w14:paraId="693D15A6">
            <w:pPr>
              <w:pStyle w:val="167"/>
              <w:keepNext w:val="0"/>
              <w:keepLines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textAlignment w:val="auto"/>
            </w:pPr>
            <w:r>
              <w:t>• Jiangsu Province Young Talent Support Program</w:t>
            </w:r>
            <w:r>
              <w:rPr>
                <w:i/>
              </w:rPr>
              <w:t xml:space="preserve"> (2025)</w:t>
            </w:r>
          </w:p>
        </w:tc>
      </w:tr>
      <w:tr w14:paraId="52F94C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37" w:type="dxa"/>
            <w:tcMar>
              <w:top w:w="0" w:type="dxa"/>
              <w:left w:w="0" w:type="dxa"/>
              <w:bottom w:w="5" w:type="dxa"/>
              <w:right w:w="60" w:type="dxa"/>
            </w:tcMar>
          </w:tcPr>
          <w:p w14:paraId="75009B21">
            <w:pPr>
              <w:pStyle w:val="167"/>
              <w:keepNext w:val="0"/>
              <w:keepLines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textAlignment w:val="auto"/>
            </w:pPr>
            <w:r>
              <w:t>• First-Class Academic Scholarship, SJTU</w:t>
            </w:r>
            <w:r>
              <w:rPr>
                <w:rFonts w:hint="eastAsia" w:eastAsia="宋体"/>
                <w:lang w:val="en-US" w:eastAsia="zh-CN"/>
              </w:rPr>
              <w:t xml:space="preserve">, </w:t>
            </w:r>
            <w:r>
              <w:rPr>
                <w:rFonts w:hint="eastAsia"/>
              </w:rPr>
              <w:t>2022–2025 (four consecutive years)</w:t>
            </w:r>
          </w:p>
        </w:tc>
        <w:tc>
          <w:tcPr>
            <w:tcW w:w="5616" w:type="dxa"/>
            <w:tcMar>
              <w:top w:w="0" w:type="dxa"/>
              <w:left w:w="0" w:type="dxa"/>
              <w:bottom w:w="5" w:type="dxa"/>
              <w:right w:w="0" w:type="dxa"/>
            </w:tcMar>
          </w:tcPr>
          <w:p w14:paraId="111A2AA5">
            <w:pPr>
              <w:pStyle w:val="167"/>
              <w:keepNext w:val="0"/>
              <w:keepLines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textAlignment w:val="auto"/>
            </w:pPr>
            <w:r>
              <w:t>• National Scholarship (top 0.2%)</w:t>
            </w:r>
            <w:r>
              <w:rPr>
                <w:i/>
              </w:rPr>
              <w:t xml:space="preserve"> (2020)</w:t>
            </w:r>
          </w:p>
        </w:tc>
      </w:tr>
      <w:tr w14:paraId="772F37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37" w:type="dxa"/>
            <w:tcMar>
              <w:top w:w="0" w:type="dxa"/>
              <w:left w:w="0" w:type="dxa"/>
              <w:bottom w:w="5" w:type="dxa"/>
              <w:right w:w="60" w:type="dxa"/>
            </w:tcMar>
          </w:tcPr>
          <w:p w14:paraId="3FFD7162">
            <w:pPr>
              <w:pStyle w:val="167"/>
              <w:keepNext w:val="0"/>
              <w:keepLines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textAlignment w:val="auto"/>
            </w:pPr>
            <w:r>
              <w:t>• National Bronze Award, China “Internet+” Competition</w:t>
            </w:r>
            <w:r>
              <w:rPr>
                <w:i/>
              </w:rPr>
              <w:t xml:space="preserve"> (2019)</w:t>
            </w:r>
          </w:p>
        </w:tc>
        <w:tc>
          <w:tcPr>
            <w:tcW w:w="5616" w:type="dxa"/>
            <w:tcMar>
              <w:top w:w="0" w:type="dxa"/>
              <w:left w:w="0" w:type="dxa"/>
              <w:bottom w:w="5" w:type="dxa"/>
              <w:right w:w="0" w:type="dxa"/>
            </w:tcMar>
          </w:tcPr>
          <w:p w14:paraId="21304E5A">
            <w:pPr>
              <w:pStyle w:val="167"/>
              <w:keepNext w:val="0"/>
              <w:keepLines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textAlignment w:val="auto"/>
            </w:pPr>
            <w:r>
              <w:t>• First Prize,</w:t>
            </w:r>
            <w:r>
              <w:rPr>
                <w:rFonts w:hint="eastAsia" w:eastAsia="宋体"/>
                <w:lang w:val="en-US" w:eastAsia="zh-CN"/>
              </w:rPr>
              <w:t xml:space="preserve"> </w:t>
            </w:r>
            <w:r>
              <w:t>National Mathematical Modeling Competition</w:t>
            </w:r>
            <w:r>
              <w:rPr>
                <w:i/>
              </w:rPr>
              <w:t xml:space="preserve"> (2019)</w:t>
            </w:r>
          </w:p>
        </w:tc>
      </w:tr>
    </w:tbl>
    <w:p w14:paraId="2BA24DAC">
      <w:pPr>
        <w:keepNext w:val="0"/>
        <w:keepLines w:val="0"/>
        <w:widowControl/>
        <w:pBdr>
          <w:bottom w:val="single" w:color="444444" w:sz="6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40" w:line="240" w:lineRule="exact"/>
        <w:textAlignment w:val="auto"/>
      </w:pPr>
      <w:r>
        <w:rPr>
          <w:rFonts w:ascii="Arial" w:hAnsi="Arial"/>
          <w:b/>
          <w:sz w:val="20"/>
        </w:rPr>
        <w:t>SELECTED METHODS AND ROBOTIC SYSTEMS</w:t>
      </w:r>
    </w:p>
    <w:p w14:paraId="3A8F40C5">
      <w:pPr>
        <w:pStyle w:val="167"/>
        <w:keepNext w:val="0"/>
        <w:keepLines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" w:line="240" w:lineRule="exact"/>
        <w:ind w:left="0" w:firstLine="0"/>
        <w:textAlignment w:val="auto"/>
      </w:pPr>
      <w:r>
        <w:rPr>
          <w:rFonts w:ascii="Arial" w:hAnsi="Arial"/>
          <w:b/>
          <w:sz w:val="17"/>
        </w:rPr>
        <w:t xml:space="preserve">Humanoid Control and Learning: </w:t>
      </w:r>
      <w:r>
        <w:rPr>
          <w:rFonts w:ascii="Arial" w:hAnsi="Arial"/>
          <w:sz w:val="17"/>
        </w:rPr>
        <w:t>Dynamics and control formulation, DCM/capturability analysis, hybrid locomotion, GPU-parallel reinforcement learning, and sim-to-real deployment on physical humanoid robots.</w:t>
      </w:r>
    </w:p>
    <w:p w14:paraId="79491DDE">
      <w:pPr>
        <w:pStyle w:val="167"/>
        <w:keepNext w:val="0"/>
        <w:keepLines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" w:line="240" w:lineRule="exact"/>
        <w:ind w:left="0" w:firstLine="0"/>
        <w:textAlignment w:val="auto"/>
      </w:pPr>
      <w:r>
        <w:rPr>
          <w:rFonts w:ascii="Arial" w:hAnsi="Arial"/>
          <w:b/>
          <w:sz w:val="17"/>
        </w:rPr>
        <w:t xml:space="preserve">Embodied Robot Learning: </w:t>
      </w:r>
      <w:r>
        <w:rPr>
          <w:rFonts w:ascii="Arial" w:hAnsi="Arial"/>
          <w:sz w:val="17"/>
        </w:rPr>
        <w:t>Multimodal VLA and language-supervised policy learning, flow/diffusion action policies, teleoperation-driven data pipelines, and reinforcement-learning post-training for long-horizon manipulation.</w:t>
      </w:r>
    </w:p>
    <w:p w14:paraId="4841ED76">
      <w:pPr>
        <w:pStyle w:val="167"/>
        <w:keepNext w:val="0"/>
        <w:keepLines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" w:line="240" w:lineRule="exact"/>
        <w:ind w:left="0" w:firstLine="0"/>
        <w:textAlignment w:val="auto"/>
      </w:pPr>
      <w:r>
        <w:rPr>
          <w:rFonts w:ascii="Arial" w:hAnsi="Arial"/>
          <w:b/>
          <w:sz w:val="17"/>
        </w:rPr>
        <w:t xml:space="preserve">Perception-to-Action Systems: </w:t>
      </w:r>
      <w:r>
        <w:rPr>
          <w:rFonts w:ascii="Arial" w:hAnsi="Arial"/>
          <w:sz w:val="17"/>
        </w:rPr>
        <w:t>Structure-aware RGB-D grounding, uncertainty-aware semantic reasoning, visual servoing, and dual-arm coordination; Unitree G1 and custom robotic platforms; PyTorch, Isaac Lab/Sim, MuJoCo, ROS/SDK2/DDS, Python/C++, and Linux.</w:t>
      </w:r>
    </w:p>
    <w:p w14:paraId="3C1A949F">
      <w:pPr>
        <w:keepNext w:val="0"/>
        <w:keepLines w:val="0"/>
        <w:widowControl/>
        <w:pBdr>
          <w:bottom w:val="single" w:color="444444" w:sz="6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40" w:line="240" w:lineRule="exact"/>
        <w:textAlignment w:val="auto"/>
      </w:pPr>
      <w:r>
        <w:rPr>
          <w:rFonts w:ascii="Arial" w:hAnsi="Arial" w:eastAsia="Arial"/>
          <w:b/>
          <w:sz w:val="20"/>
        </w:rPr>
        <w:t>ACADEMIC SERVICE AND ACTIVITIES</w:t>
      </w:r>
    </w:p>
    <w:p w14:paraId="17F343A0">
      <w:pPr>
        <w:pStyle w:val="167"/>
        <w:keepNext w:val="0"/>
        <w:keepLines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" w:line="240" w:lineRule="exact"/>
        <w:textAlignment w:val="auto"/>
      </w:pPr>
      <w:r>
        <w:rPr>
          <w:b w:val="0"/>
          <w:i w:val="0"/>
          <w:sz w:val="17"/>
        </w:rPr>
        <w:t>• Reviewer for IEEE Robotics and Automation Letters.</w:t>
      </w:r>
    </w:p>
    <w:p w14:paraId="416807EE">
      <w:pPr>
        <w:pStyle w:val="167"/>
        <w:keepNext w:val="0"/>
        <w:keepLines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" w:line="240" w:lineRule="exact"/>
        <w:textAlignment w:val="auto"/>
      </w:pPr>
      <w:r>
        <w:rPr>
          <w:b w:val="0"/>
          <w:i w:val="0"/>
          <w:sz w:val="17"/>
        </w:rPr>
        <w:t xml:space="preserve">• </w:t>
      </w:r>
      <w:r>
        <w:rPr>
          <w:rFonts w:hint="eastAsia"/>
          <w:b w:val="0"/>
          <w:i w:val="0"/>
          <w:sz w:val="17"/>
        </w:rPr>
        <w:t xml:space="preserve">Scheduled to present MotionVL at the 2026 IEEE/RSJ International Conference on Intelligent Robots and Systems (IROS), Pittsburgh, </w:t>
      </w:r>
      <w:bookmarkStart w:id="0" w:name="_GoBack"/>
      <w:bookmarkEnd w:id="0"/>
      <w:r>
        <w:rPr>
          <w:rFonts w:hint="eastAsia"/>
          <w:b w:val="0"/>
          <w:i w:val="0"/>
          <w:sz w:val="17"/>
        </w:rPr>
        <w:t>USA, Sep. 28–30, 2026.</w:t>
      </w:r>
    </w:p>
    <w:p w14:paraId="11FA8C96">
      <w:pPr>
        <w:pStyle w:val="167"/>
        <w:keepNext w:val="0"/>
        <w:keepLines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" w:line="240" w:lineRule="exact"/>
        <w:textAlignment w:val="auto"/>
      </w:pPr>
      <w:r>
        <w:rPr>
          <w:b w:val="0"/>
          <w:i w:val="0"/>
          <w:sz w:val="17"/>
        </w:rPr>
        <w:t>• Invited technical presentation at the World Intelligent Manufacturing Conference on humanoid robot technologies.</w:t>
      </w:r>
    </w:p>
    <w:p w14:paraId="18DEF0BE">
      <w:pPr>
        <w:pStyle w:val="167"/>
        <w:keepNext w:val="0"/>
        <w:keepLines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" w:line="240" w:lineRule="exact"/>
        <w:textAlignment w:val="auto"/>
      </w:pPr>
      <w:r>
        <w:rPr>
          <w:sz w:val="17"/>
        </w:rPr>
        <w:t>• Presented research at the IEEE/ASME International Conference on Advanced Intelligent Mechatronics (AIM), Seattle, USA.</w:t>
      </w:r>
    </w:p>
    <w:p w14:paraId="46D42F43"/>
    <w:sectPr>
      <w:footerReference r:id="rId5" w:type="default"/>
      <w:pgSz w:w="12240" w:h="15840"/>
      <w:pgMar w:top="691" w:right="835" w:bottom="691" w:left="835" w:header="288" w:footer="28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Kozuka Mincho Pr6N R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Kozuka Mincho Pr6N R">
    <w:panose1 w:val="02020400000000000000"/>
    <w:charset w:val="80"/>
    <w:family w:val="auto"/>
    <w:pitch w:val="default"/>
    <w:sig w:usb0="000002D7" w:usb1="2AC71C11" w:usb2="00000012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汉仪正圆 55简">
    <w:panose1 w:val="00020600040101010101"/>
    <w:charset w:val="86"/>
    <w:family w:val="roman"/>
    <w:pitch w:val="default"/>
    <w:sig w:usb0="A00002BF" w:usb1="0ACF7CFA" w:usb2="00000016" w:usb3="00000000" w:csb0="0004009F" w:csb1="00000000"/>
  </w:font>
  <w:font w:name="汉仪字酷堂长林体W">
    <w:panose1 w:val="00020600040101010101"/>
    <w:charset w:val="86"/>
    <w:family w:val="roman"/>
    <w:pitch w:val="default"/>
    <w:sig w:usb0="8000003F" w:usb1="1AC104FA" w:usb2="00000016" w:usb3="00000000" w:csb0="0004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29FC47">
    <w:pPr>
      <w:pStyle w:val="24"/>
      <w:spacing w:before="0" w:after="0"/>
      <w:jc w:val="center"/>
    </w:pPr>
    <w:r>
      <w:rPr>
        <w:rFonts w:ascii="Arial" w:hAnsi="Arial"/>
        <w:color w:val="646464"/>
        <w:sz w:val="15"/>
      </w:rPr>
      <w:t>Yan Luo — Academic CV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3853FB5"/>
    <w:rsid w:val="20824638"/>
    <w:rsid w:val="20BE5BD1"/>
    <w:rsid w:val="214E3DC8"/>
    <w:rsid w:val="3BD11425"/>
    <w:rsid w:val="3C3A346E"/>
    <w:rsid w:val="73532842"/>
    <w:rsid w:val="78570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="Arial" w:cstheme="minorBidi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yperlink"/>
    <w:basedOn w:val="132"/>
    <w:semiHidden/>
    <w:unhideWhenUsed/>
    <w:uiPriority w:val="99"/>
    <w:rPr>
      <w:color w:val="0000FF"/>
      <w:u w:val="single"/>
    </w:rPr>
  </w:style>
  <w:style w:type="character" w:customStyle="1" w:styleId="136">
    <w:name w:val="Header Char"/>
    <w:basedOn w:val="132"/>
    <w:link w:val="25"/>
    <w:uiPriority w:val="99"/>
  </w:style>
  <w:style w:type="character" w:customStyle="1" w:styleId="137">
    <w:name w:val="Footer Char"/>
    <w:basedOn w:val="132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qFormat/>
    <w:uiPriority w:val="99"/>
  </w:style>
  <w:style w:type="character" w:customStyle="1" w:styleId="146">
    <w:name w:val="Body Text 2 Char"/>
    <w:basedOn w:val="132"/>
    <w:link w:val="28"/>
    <w:qFormat/>
    <w:uiPriority w:val="99"/>
  </w:style>
  <w:style w:type="character" w:customStyle="1" w:styleId="147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5">
    <w:name w:val="CV Body"/>
    <w:qFormat/>
    <w:uiPriority w:val="0"/>
    <w:pPr>
      <w:spacing w:after="30" w:line="240" w:lineRule="auto"/>
    </w:pPr>
    <w:rPr>
      <w:rFonts w:ascii="Arial" w:hAnsi="Arial" w:eastAsia="Arial" w:cstheme="minorBidi"/>
      <w:sz w:val="18"/>
      <w:szCs w:val="22"/>
      <w:lang w:val="en-US" w:eastAsia="en-US" w:bidi="ar-SA"/>
    </w:rPr>
  </w:style>
  <w:style w:type="paragraph" w:customStyle="1" w:styleId="166">
    <w:name w:val="CV Bullet"/>
    <w:qFormat/>
    <w:uiPriority w:val="0"/>
    <w:pPr>
      <w:spacing w:after="22" w:line="240" w:lineRule="auto"/>
      <w:ind w:left="245" w:hanging="173"/>
    </w:pPr>
    <w:rPr>
      <w:rFonts w:ascii="Arial" w:hAnsi="Arial" w:eastAsia="Arial" w:cstheme="minorBidi"/>
      <w:sz w:val="18"/>
      <w:szCs w:val="22"/>
      <w:lang w:val="en-US" w:eastAsia="en-US" w:bidi="ar-SA"/>
    </w:rPr>
  </w:style>
  <w:style w:type="paragraph" w:customStyle="1" w:styleId="167">
    <w:name w:val="CV Small"/>
    <w:qFormat/>
    <w:uiPriority w:val="0"/>
    <w:pPr>
      <w:spacing w:after="16" w:line="240" w:lineRule="auto"/>
    </w:pPr>
    <w:rPr>
      <w:rFonts w:ascii="Arial" w:hAnsi="Arial" w:eastAsia="Arial" w:cstheme="minorBidi"/>
      <w:sz w:val="17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1153</Words>
  <Characters>8140</Characters>
  <Lines>0</Lines>
  <Paragraphs>0</Paragraphs>
  <TotalTime>0</TotalTime>
  <ScaleCrop>false</ScaleCrop>
  <LinksUpToDate>false</LinksUpToDate>
  <CharactersWithSpaces>9226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LUO</cp:lastModifiedBy>
  <dcterms:modified xsi:type="dcterms:W3CDTF">2026-07-23T14:30:12Z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eyJoZGlkIjoiOTY0MGZhYmM5ZGNmNTg0YTU3YTVkZmY4NWJjYjI4MzgiLCJ1c2VySWQiOiIyMjAxMDU4NDkifQ==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05A1A4626E624BB9A3964416F6BE949B_13</vt:lpwstr>
  </property>
</Properties>
</file>