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6E78" w14:textId="3BA0035B" w:rsidR="006348F4" w:rsidRPr="00B67ABC" w:rsidRDefault="006348F4" w:rsidP="00B67ABC">
      <w:pPr>
        <w:pStyle w:val="a9"/>
        <w:numPr>
          <w:ilvl w:val="0"/>
          <w:numId w:val="9"/>
        </w:numPr>
        <w:rPr>
          <w:b/>
          <w:bCs/>
        </w:rPr>
      </w:pPr>
      <w:r w:rsidRPr="00B67ABC">
        <w:rPr>
          <w:b/>
          <w:bCs/>
        </w:rPr>
        <w:t>文档 savedrecs.txt</w:t>
      </w:r>
    </w:p>
    <w:p w14:paraId="2F65F712" w14:textId="63AB3887" w:rsidR="00B67ABC" w:rsidRDefault="00B67ABC" w:rsidP="00B67ABC">
      <w:pPr>
        <w:pStyle w:val="af2"/>
        <w:numPr>
          <w:ilvl w:val="0"/>
          <w:numId w:val="9"/>
        </w:numPr>
      </w:pPr>
      <w:r>
        <w:rPr>
          <w:rFonts w:hint="eastAsia"/>
          <w:noProof/>
        </w:rPr>
        <w:drawing>
          <wp:inline distT="0" distB="0" distL="0" distR="0" wp14:anchorId="0C443305" wp14:editId="1BA6A8EC">
            <wp:extent cx="5274310" cy="2637155"/>
            <wp:effectExtent l="0" t="0" r="2540" b="0"/>
            <wp:docPr id="1974594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444C" w14:textId="77777777" w:rsidR="00B67ABC" w:rsidRPr="00B67ABC" w:rsidRDefault="00B67ABC" w:rsidP="00B67ABC">
      <w:pPr>
        <w:pStyle w:val="a9"/>
        <w:ind w:left="360"/>
        <w:rPr>
          <w:rFonts w:hint="eastAsia"/>
          <w:b/>
          <w:bCs/>
        </w:rPr>
      </w:pPr>
    </w:p>
    <w:p w14:paraId="5C25F46B" w14:textId="77777777" w:rsidR="006348F4" w:rsidRPr="006348F4" w:rsidRDefault="006348F4" w:rsidP="006348F4">
      <w:pPr>
        <w:numPr>
          <w:ilvl w:val="0"/>
          <w:numId w:val="1"/>
        </w:numPr>
        <w:rPr>
          <w:rFonts w:hint="eastAsia"/>
        </w:rPr>
      </w:pPr>
      <w:r w:rsidRPr="006348F4">
        <w:rPr>
          <w:b/>
          <w:bCs/>
        </w:rPr>
        <w:t>论文标题：</w:t>
      </w:r>
      <w:r w:rsidRPr="006348F4">
        <w:t xml:space="preserve"> Improvement of fault diagnosis efficiency in nuclear power plants using hybrid intelligence approach</w:t>
      </w:r>
    </w:p>
    <w:p w14:paraId="371E8C68" w14:textId="77777777" w:rsidR="006348F4" w:rsidRPr="006348F4" w:rsidRDefault="006348F4" w:rsidP="006348F4">
      <w:pPr>
        <w:numPr>
          <w:ilvl w:val="0"/>
          <w:numId w:val="1"/>
        </w:numPr>
        <w:rPr>
          <w:rFonts w:hint="eastAsia"/>
        </w:rPr>
      </w:pPr>
      <w:r w:rsidRPr="006348F4">
        <w:rPr>
          <w:b/>
          <w:bCs/>
        </w:rPr>
        <w:t>对应主题：T2 (核电智能运维与故障诊断 / AI &amp; Fault Diagnosis)</w:t>
      </w:r>
    </w:p>
    <w:p w14:paraId="29FD3BF6" w14:textId="77777777" w:rsidR="006348F4" w:rsidRPr="006348F4" w:rsidRDefault="006348F4" w:rsidP="006348F4">
      <w:pPr>
        <w:numPr>
          <w:ilvl w:val="0"/>
          <w:numId w:val="1"/>
        </w:numPr>
        <w:rPr>
          <w:rFonts w:hint="eastAsia"/>
        </w:rPr>
      </w:pPr>
      <w:r w:rsidRPr="006348F4">
        <w:rPr>
          <w:b/>
          <w:bCs/>
        </w:rPr>
        <w:t>主题贴合性：</w:t>
      </w:r>
      <w:r w:rsidRPr="006348F4">
        <w:t xml:space="preserve"> 摘要中明确出现了 fault diagnosis（故障诊断）、artificial neural network（人工神经网络）、data fusion（数据融合）等关键词，完全契合利用AI处理核电站数据的 T2 主题。</w:t>
      </w:r>
    </w:p>
    <w:p w14:paraId="72F21F76" w14:textId="77777777" w:rsidR="006348F4" w:rsidRPr="006348F4" w:rsidRDefault="006348F4" w:rsidP="006348F4">
      <w:pPr>
        <w:numPr>
          <w:ilvl w:val="0"/>
          <w:numId w:val="1"/>
        </w:numPr>
        <w:rPr>
          <w:rFonts w:hint="eastAsia"/>
        </w:rPr>
      </w:pPr>
      <w:r w:rsidRPr="006348F4">
        <w:rPr>
          <w:b/>
          <w:bCs/>
        </w:rPr>
        <w:t>创新点：</w:t>
      </w:r>
      <w:r w:rsidRPr="006348F4">
        <w:t xml:space="preserve"> 提出了一种**“混合智能架构”**。它打破了单一算法的局限，根据诊断过程的进展，动态结合神经网络（黑盒数据驱动）、数据融合与符号有向图（白盒逻辑驱动），实现了对局部与全局复杂故障的自适应精准诊断。</w:t>
      </w:r>
    </w:p>
    <w:p w14:paraId="4DADDC91" w14:textId="21DCB284" w:rsidR="006348F4" w:rsidRPr="00B67ABC" w:rsidRDefault="006348F4" w:rsidP="00B67ABC">
      <w:pPr>
        <w:pStyle w:val="a9"/>
        <w:numPr>
          <w:ilvl w:val="0"/>
          <w:numId w:val="9"/>
        </w:numPr>
        <w:rPr>
          <w:b/>
          <w:bCs/>
        </w:rPr>
      </w:pPr>
      <w:r w:rsidRPr="00B67ABC">
        <w:rPr>
          <w:b/>
          <w:bCs/>
        </w:rPr>
        <w:t>文档 161.txt</w:t>
      </w:r>
    </w:p>
    <w:p w14:paraId="7502233F" w14:textId="55FB487C" w:rsidR="00B67ABC" w:rsidRDefault="00B67ABC" w:rsidP="00B67ABC">
      <w:pPr>
        <w:pStyle w:val="af2"/>
        <w:numPr>
          <w:ilvl w:val="0"/>
          <w:numId w:val="9"/>
        </w:numPr>
      </w:pPr>
      <w:r>
        <w:rPr>
          <w:rFonts w:hint="eastAsia"/>
          <w:noProof/>
        </w:rPr>
        <w:lastRenderedPageBreak/>
        <w:drawing>
          <wp:inline distT="0" distB="0" distL="0" distR="0" wp14:anchorId="4EE9A8EB" wp14:editId="30235186">
            <wp:extent cx="5274310" cy="2637155"/>
            <wp:effectExtent l="0" t="0" r="2540" b="0"/>
            <wp:docPr id="14079367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B5019" w14:textId="77777777" w:rsidR="00B67ABC" w:rsidRPr="00B67ABC" w:rsidRDefault="00B67ABC" w:rsidP="00B67ABC">
      <w:pPr>
        <w:pStyle w:val="a9"/>
        <w:ind w:left="360"/>
        <w:rPr>
          <w:rFonts w:hint="eastAsia"/>
          <w:b/>
          <w:bCs/>
        </w:rPr>
      </w:pPr>
    </w:p>
    <w:p w14:paraId="21F37354" w14:textId="77777777" w:rsidR="006348F4" w:rsidRPr="006348F4" w:rsidRDefault="006348F4" w:rsidP="006348F4">
      <w:pPr>
        <w:numPr>
          <w:ilvl w:val="0"/>
          <w:numId w:val="2"/>
        </w:numPr>
        <w:rPr>
          <w:rFonts w:hint="eastAsia"/>
        </w:rPr>
      </w:pPr>
      <w:r w:rsidRPr="006348F4">
        <w:rPr>
          <w:b/>
          <w:bCs/>
        </w:rPr>
        <w:t>论文标题：</w:t>
      </w:r>
      <w:r w:rsidRPr="006348F4">
        <w:t xml:space="preserve"> Molecular dynamics of single-particle impacts predicts phase diagrams for large scale pattern formation</w:t>
      </w:r>
    </w:p>
    <w:p w14:paraId="139C3064" w14:textId="77777777" w:rsidR="006348F4" w:rsidRPr="006348F4" w:rsidRDefault="006348F4" w:rsidP="006348F4">
      <w:pPr>
        <w:numPr>
          <w:ilvl w:val="0"/>
          <w:numId w:val="2"/>
        </w:numPr>
        <w:rPr>
          <w:rFonts w:hint="eastAsia"/>
        </w:rPr>
      </w:pPr>
      <w:r w:rsidRPr="006348F4">
        <w:rPr>
          <w:b/>
          <w:bCs/>
        </w:rPr>
        <w:t>对应主题：T4 (核材料科学与辐照损伤 / Nuclear Materials &amp; Irradiation Damage)</w:t>
      </w:r>
    </w:p>
    <w:p w14:paraId="69F91BC1" w14:textId="77777777" w:rsidR="006348F4" w:rsidRPr="006348F4" w:rsidRDefault="006348F4" w:rsidP="006348F4">
      <w:pPr>
        <w:numPr>
          <w:ilvl w:val="0"/>
          <w:numId w:val="2"/>
        </w:numPr>
        <w:rPr>
          <w:rFonts w:hint="eastAsia"/>
        </w:rPr>
      </w:pPr>
      <w:r w:rsidRPr="006348F4">
        <w:rPr>
          <w:b/>
          <w:bCs/>
        </w:rPr>
        <w:t>主题贴合性：</w:t>
      </w:r>
      <w:r w:rsidRPr="006348F4">
        <w:t xml:space="preserve"> 论文关注“高能粒子辐照 (Energetic particle irradiation)”以及“核反应堆和聚变堆面向等离子体壁的组件 (fusion reactor walls)”，与 T4 中的 irradiation、ion、damage、materials 完全对应。</w:t>
      </w:r>
    </w:p>
    <w:p w14:paraId="14AABA7F" w14:textId="77777777" w:rsidR="006348F4" w:rsidRPr="006348F4" w:rsidRDefault="006348F4" w:rsidP="006348F4">
      <w:pPr>
        <w:numPr>
          <w:ilvl w:val="0"/>
          <w:numId w:val="2"/>
        </w:numPr>
        <w:rPr>
          <w:rFonts w:hint="eastAsia"/>
        </w:rPr>
      </w:pPr>
      <w:r w:rsidRPr="006348F4">
        <w:rPr>
          <w:b/>
          <w:bCs/>
        </w:rPr>
        <w:t>创新点：</w:t>
      </w:r>
      <w:r w:rsidRPr="006348F4">
        <w:t xml:space="preserve"> </w:t>
      </w:r>
      <w:r w:rsidRPr="006348F4">
        <w:rPr>
          <w:b/>
          <w:bCs/>
        </w:rPr>
        <w:t>颠覆了传统认知。</w:t>
      </w:r>
      <w:r w:rsidRPr="006348F4">
        <w:t xml:space="preserve"> 过去学术界认为材料表面在离子轰击下产生纳米图案或降解，是因为靶原子的“溅射侵蚀 (sputter erosion)”；但这篇论文通过无参数分子动力学模拟证明，核心机制其实是</w:t>
      </w:r>
      <w:r w:rsidRPr="006348F4">
        <w:rPr>
          <w:b/>
          <w:bCs/>
        </w:rPr>
        <w:t>未被溅射走的靶原子的撞击重分布</w:t>
      </w:r>
      <w:r w:rsidRPr="006348F4">
        <w:t>，溅射侵蚀的影响无关紧要。这为核材料的抗辐照设计提供了全新的理论标准。</w:t>
      </w:r>
    </w:p>
    <w:p w14:paraId="74C14584" w14:textId="531A1DEA" w:rsidR="006348F4" w:rsidRDefault="006348F4" w:rsidP="006348F4">
      <w:pPr>
        <w:rPr>
          <w:b/>
          <w:bCs/>
        </w:rPr>
      </w:pPr>
      <w:r w:rsidRPr="006348F4">
        <w:rPr>
          <w:b/>
          <w:bCs/>
        </w:rPr>
        <w:t xml:space="preserve">3. 文档 </w:t>
      </w:r>
    </w:p>
    <w:p w14:paraId="33DE7EDC" w14:textId="77777777" w:rsidR="00B67ABC" w:rsidRPr="006348F4" w:rsidRDefault="00B67ABC" w:rsidP="006348F4">
      <w:pPr>
        <w:rPr>
          <w:rFonts w:hint="eastAsia"/>
          <w:b/>
          <w:bCs/>
        </w:rPr>
      </w:pPr>
    </w:p>
    <w:p w14:paraId="3594DFAD" w14:textId="77777777" w:rsidR="006348F4" w:rsidRPr="006348F4" w:rsidRDefault="006348F4" w:rsidP="006348F4">
      <w:pPr>
        <w:numPr>
          <w:ilvl w:val="0"/>
          <w:numId w:val="3"/>
        </w:numPr>
        <w:rPr>
          <w:rFonts w:hint="eastAsia"/>
        </w:rPr>
      </w:pPr>
      <w:r w:rsidRPr="006348F4">
        <w:rPr>
          <w:b/>
          <w:bCs/>
        </w:rPr>
        <w:t>论文标题：</w:t>
      </w:r>
      <w:r w:rsidRPr="006348F4">
        <w:t xml:space="preserve"> Cooperativity among defect sites in AO2+x and A4O9 (A=U,Np,Pu): Density functional calculations</w:t>
      </w:r>
    </w:p>
    <w:p w14:paraId="2B55BA1A" w14:textId="1ECBE5B6" w:rsidR="006348F4" w:rsidRPr="006348F4" w:rsidRDefault="006348F4" w:rsidP="006348F4">
      <w:pPr>
        <w:numPr>
          <w:ilvl w:val="0"/>
          <w:numId w:val="3"/>
        </w:numPr>
        <w:rPr>
          <w:rFonts w:hint="eastAsia"/>
        </w:rPr>
      </w:pPr>
      <w:r w:rsidRPr="006348F4">
        <w:rPr>
          <w:b/>
          <w:bCs/>
        </w:rPr>
        <w:t>对应主题：T7 (核燃料与反应堆堆芯 / Fuel &amp; Reactor Core)</w:t>
      </w:r>
      <w:r w:rsidRPr="006348F4">
        <w:t xml:space="preserve"> </w:t>
      </w:r>
    </w:p>
    <w:p w14:paraId="12D15183" w14:textId="77777777" w:rsidR="006348F4" w:rsidRPr="006348F4" w:rsidRDefault="006348F4" w:rsidP="006348F4">
      <w:pPr>
        <w:numPr>
          <w:ilvl w:val="0"/>
          <w:numId w:val="3"/>
        </w:numPr>
        <w:rPr>
          <w:rFonts w:hint="eastAsia"/>
        </w:rPr>
      </w:pPr>
      <w:r w:rsidRPr="006348F4">
        <w:rPr>
          <w:b/>
          <w:bCs/>
        </w:rPr>
        <w:t>主题贴合性：</w:t>
      </w:r>
      <w:r w:rsidRPr="006348F4">
        <w:t xml:space="preserve"> 研究对象是铀(U)、镎(Np)和钚(Pu)的二氧化物（AO2），这些是典型的核反应堆燃料（nuclear reactor fuels），涉及晶格缺陷和氧化问题。</w:t>
      </w:r>
    </w:p>
    <w:p w14:paraId="0330CECF" w14:textId="77777777" w:rsidR="006348F4" w:rsidRPr="006348F4" w:rsidRDefault="006348F4" w:rsidP="006348F4">
      <w:pPr>
        <w:numPr>
          <w:ilvl w:val="0"/>
          <w:numId w:val="3"/>
        </w:numPr>
        <w:rPr>
          <w:rFonts w:hint="eastAsia"/>
        </w:rPr>
      </w:pPr>
      <w:r w:rsidRPr="006348F4">
        <w:rPr>
          <w:b/>
          <w:bCs/>
        </w:rPr>
        <w:t>创新点：</w:t>
      </w:r>
      <w:r w:rsidRPr="006348F4">
        <w:t xml:space="preserve"> 运用密度泛函理论(DFT)计算，揭示了处于氧化环境下的核燃料内部**“氧团簇形成的协同效应”**。论文预测了一种被称为“分裂双间隙(split di-interstitial)”的结构是最稳定的团簇基本构建块，并从原子轨道杂化(O 2p orbitals)的微观角度解释了燃料氧化的热力学机制。</w:t>
      </w:r>
    </w:p>
    <w:p w14:paraId="027A81DE" w14:textId="7E4710F0" w:rsidR="006348F4" w:rsidRPr="00B67ABC" w:rsidRDefault="006348F4" w:rsidP="00B67ABC">
      <w:pPr>
        <w:pStyle w:val="a9"/>
        <w:numPr>
          <w:ilvl w:val="0"/>
          <w:numId w:val="9"/>
        </w:numPr>
        <w:rPr>
          <w:b/>
          <w:bCs/>
        </w:rPr>
      </w:pPr>
      <w:r w:rsidRPr="00B67ABC">
        <w:rPr>
          <w:b/>
          <w:bCs/>
        </w:rPr>
        <w:t>文档 97.txt</w:t>
      </w:r>
    </w:p>
    <w:p w14:paraId="110A4214" w14:textId="1B07B2C0" w:rsidR="00B67ABC" w:rsidRDefault="00B67ABC" w:rsidP="00B67ABC">
      <w:pPr>
        <w:pStyle w:val="af2"/>
        <w:numPr>
          <w:ilvl w:val="0"/>
          <w:numId w:val="9"/>
        </w:numPr>
      </w:pPr>
      <w:r>
        <w:rPr>
          <w:rFonts w:hint="eastAsia"/>
          <w:noProof/>
        </w:rPr>
        <w:drawing>
          <wp:inline distT="0" distB="0" distL="0" distR="0" wp14:anchorId="33D86E3F" wp14:editId="3B2F2769">
            <wp:extent cx="5274310" cy="2637155"/>
            <wp:effectExtent l="0" t="0" r="2540" b="0"/>
            <wp:docPr id="7503957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C234" w14:textId="77777777" w:rsidR="00B67ABC" w:rsidRPr="00B67ABC" w:rsidRDefault="00B67ABC" w:rsidP="00B67ABC">
      <w:pPr>
        <w:pStyle w:val="a9"/>
        <w:ind w:left="360"/>
        <w:rPr>
          <w:rFonts w:hint="eastAsia"/>
          <w:b/>
          <w:bCs/>
        </w:rPr>
      </w:pPr>
    </w:p>
    <w:p w14:paraId="30D4CAA3" w14:textId="77777777" w:rsidR="006348F4" w:rsidRPr="006348F4" w:rsidRDefault="006348F4" w:rsidP="006348F4">
      <w:pPr>
        <w:numPr>
          <w:ilvl w:val="0"/>
          <w:numId w:val="4"/>
        </w:numPr>
        <w:rPr>
          <w:rFonts w:hint="eastAsia"/>
        </w:rPr>
      </w:pPr>
      <w:r w:rsidRPr="006348F4">
        <w:rPr>
          <w:b/>
          <w:bCs/>
        </w:rPr>
        <w:t>论文标题：</w:t>
      </w:r>
      <w:r w:rsidRPr="006348F4">
        <w:t xml:space="preserve"> Surface functionalization graphene oxide by polydopamine for high affinity of radionuclides</w:t>
      </w:r>
    </w:p>
    <w:p w14:paraId="6E6EA766" w14:textId="77777777" w:rsidR="006348F4" w:rsidRPr="006348F4" w:rsidRDefault="006348F4" w:rsidP="006348F4">
      <w:pPr>
        <w:numPr>
          <w:ilvl w:val="0"/>
          <w:numId w:val="4"/>
        </w:numPr>
        <w:rPr>
          <w:rFonts w:hint="eastAsia"/>
        </w:rPr>
      </w:pPr>
      <w:r w:rsidRPr="006348F4">
        <w:rPr>
          <w:b/>
          <w:bCs/>
        </w:rPr>
        <w:lastRenderedPageBreak/>
        <w:t>对应主题：T9 (放射性化学——吸附与去污 / Adsorption &amp; Radiochemistry)</w:t>
      </w:r>
    </w:p>
    <w:p w14:paraId="2618E499" w14:textId="77777777" w:rsidR="006348F4" w:rsidRPr="006348F4" w:rsidRDefault="006348F4" w:rsidP="006348F4">
      <w:pPr>
        <w:numPr>
          <w:ilvl w:val="0"/>
          <w:numId w:val="4"/>
        </w:numPr>
        <w:rPr>
          <w:rFonts w:hint="eastAsia"/>
        </w:rPr>
      </w:pPr>
      <w:r w:rsidRPr="006348F4">
        <w:rPr>
          <w:b/>
          <w:bCs/>
        </w:rPr>
        <w:t>主题贴合性：</w:t>
      </w:r>
      <w:r w:rsidRPr="006348F4">
        <w:t xml:space="preserve"> 摘要中多次提及“去除水溶液中的铀(VI)” (remove uranium(VI))、“放射性核素” (radionuclides) 和“吸附能力” (adsorption capacity)，完美契合 T9 主题。</w:t>
      </w:r>
    </w:p>
    <w:p w14:paraId="240694D4" w14:textId="77777777" w:rsidR="006348F4" w:rsidRPr="006348F4" w:rsidRDefault="006348F4" w:rsidP="006348F4">
      <w:pPr>
        <w:numPr>
          <w:ilvl w:val="0"/>
          <w:numId w:val="4"/>
        </w:numPr>
        <w:rPr>
          <w:rFonts w:hint="eastAsia"/>
        </w:rPr>
      </w:pPr>
      <w:r w:rsidRPr="006348F4">
        <w:rPr>
          <w:b/>
          <w:bCs/>
        </w:rPr>
        <w:t>创新点：</w:t>
      </w:r>
      <w:r w:rsidRPr="006348F4">
        <w:t xml:space="preserve"> 采用了一种</w:t>
      </w:r>
      <w:r w:rsidRPr="006348F4">
        <w:rPr>
          <w:b/>
          <w:bCs/>
        </w:rPr>
        <w:t>仿生表面功能化工艺</w:t>
      </w:r>
      <w:r w:rsidRPr="006348F4">
        <w:t>。作者在氧化石墨烯(GO)表面通过多巴胺的自聚合，合成了一种新型二维纳米复合材料 (PD/GO)。该材料结合了多巴胺的多功能基团和石墨烯的超高比表面积（协同效应），实现了高达 145.39 mg/g 的极高铀吸附容量，并证明了其在核废液处理中的可长期再生性。</w:t>
      </w:r>
    </w:p>
    <w:p w14:paraId="2B885B4A" w14:textId="44E17EFC" w:rsidR="006348F4" w:rsidRDefault="006348F4" w:rsidP="006348F4">
      <w:pPr>
        <w:rPr>
          <w:b/>
          <w:bCs/>
        </w:rPr>
      </w:pPr>
      <w:r w:rsidRPr="006348F4">
        <w:rPr>
          <w:b/>
          <w:bCs/>
        </w:rPr>
        <w:t xml:space="preserve">5. 文档 </w:t>
      </w:r>
    </w:p>
    <w:p w14:paraId="52361092" w14:textId="10A95FB8" w:rsidR="00B67ABC" w:rsidRPr="00B67ABC" w:rsidRDefault="00B67ABC" w:rsidP="00B67ABC">
      <w:pPr>
        <w:rPr>
          <w:b/>
          <w:bCs/>
        </w:rPr>
      </w:pPr>
      <w:r w:rsidRPr="00B67ABC">
        <w:rPr>
          <w:rFonts w:hint="eastAsia"/>
          <w:b/>
          <w:bCs/>
        </w:rPr>
        <w:drawing>
          <wp:inline distT="0" distB="0" distL="0" distR="0" wp14:anchorId="566DED51" wp14:editId="035C8D67">
            <wp:extent cx="5274310" cy="2637155"/>
            <wp:effectExtent l="0" t="0" r="2540" b="0"/>
            <wp:docPr id="5977193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7BF1" w14:textId="77777777" w:rsidR="00B67ABC" w:rsidRPr="006348F4" w:rsidRDefault="00B67ABC" w:rsidP="006348F4">
      <w:pPr>
        <w:rPr>
          <w:rFonts w:hint="eastAsia"/>
          <w:b/>
          <w:bCs/>
        </w:rPr>
      </w:pPr>
    </w:p>
    <w:p w14:paraId="2922EA4B" w14:textId="77777777" w:rsidR="006348F4" w:rsidRPr="006348F4" w:rsidRDefault="006348F4" w:rsidP="006348F4">
      <w:pPr>
        <w:numPr>
          <w:ilvl w:val="0"/>
          <w:numId w:val="5"/>
        </w:numPr>
        <w:rPr>
          <w:rFonts w:hint="eastAsia"/>
        </w:rPr>
      </w:pPr>
      <w:r w:rsidRPr="006348F4">
        <w:rPr>
          <w:b/>
          <w:bCs/>
        </w:rPr>
        <w:t>论文标题：</w:t>
      </w:r>
      <w:r w:rsidRPr="006348F4">
        <w:t xml:space="preserve"> Heat transfer with laminar pulsating flow in a channel or tube in rolling motion</w:t>
      </w:r>
    </w:p>
    <w:p w14:paraId="3B8312DE" w14:textId="77777777" w:rsidR="006348F4" w:rsidRPr="006348F4" w:rsidRDefault="006348F4" w:rsidP="006348F4">
      <w:pPr>
        <w:numPr>
          <w:ilvl w:val="0"/>
          <w:numId w:val="5"/>
        </w:numPr>
        <w:rPr>
          <w:rFonts w:hint="eastAsia"/>
        </w:rPr>
      </w:pPr>
      <w:r w:rsidRPr="006348F4">
        <w:rPr>
          <w:b/>
          <w:bCs/>
        </w:rPr>
        <w:t>对应主题：T10 (反应堆热工水力学 / Reactor Thermal-Hydraulics)</w:t>
      </w:r>
    </w:p>
    <w:p w14:paraId="2E779D66" w14:textId="77777777" w:rsidR="006348F4" w:rsidRPr="006348F4" w:rsidRDefault="006348F4" w:rsidP="006348F4">
      <w:pPr>
        <w:numPr>
          <w:ilvl w:val="0"/>
          <w:numId w:val="5"/>
        </w:numPr>
        <w:rPr>
          <w:rFonts w:hint="eastAsia"/>
        </w:rPr>
      </w:pPr>
      <w:r w:rsidRPr="006348F4">
        <w:rPr>
          <w:b/>
          <w:bCs/>
        </w:rPr>
        <w:lastRenderedPageBreak/>
        <w:t>主题贴合性：</w:t>
      </w:r>
      <w:r w:rsidRPr="006348F4">
        <w:t xml:space="preserve"> 关键词包括“传热” (Heat transfer)、“层流脉动流” (laminar pulsating flow) 和核动力系统 (nuclear power systems)，属于典型的热工水力学流体研究。</w:t>
      </w:r>
    </w:p>
    <w:p w14:paraId="3DDE2839" w14:textId="77777777" w:rsidR="006348F4" w:rsidRPr="006348F4" w:rsidRDefault="006348F4" w:rsidP="006348F4">
      <w:pPr>
        <w:numPr>
          <w:ilvl w:val="0"/>
          <w:numId w:val="5"/>
        </w:numPr>
        <w:rPr>
          <w:rFonts w:hint="eastAsia"/>
        </w:rPr>
      </w:pPr>
      <w:r w:rsidRPr="006348F4">
        <w:rPr>
          <w:b/>
          <w:bCs/>
        </w:rPr>
        <w:t>创新点：</w:t>
      </w:r>
      <w:r w:rsidRPr="006348F4">
        <w:t xml:space="preserve"> 专门针对</w:t>
      </w:r>
      <w:r w:rsidRPr="006348F4">
        <w:rPr>
          <w:b/>
          <w:bCs/>
        </w:rPr>
        <w:t>海洋环境下的核动力系统（如核潜艇或海上浮动核电站）</w:t>
      </w:r>
      <w:r w:rsidRPr="006348F4">
        <w:t>。论文建立了一个在**“摇摆运动 (rolling motion)”**状态下管道内部脉动流的传热模型，并指出经典的 Nield &amp; Kuznetsov 静止环境理论不再适用于这种动态海洋环境，填补了船舶核动力热工水力的特定理论空白。</w:t>
      </w:r>
    </w:p>
    <w:p w14:paraId="0EB9E834" w14:textId="62E42BD7" w:rsidR="006348F4" w:rsidRPr="00B67ABC" w:rsidRDefault="006348F4" w:rsidP="00B67ABC">
      <w:pPr>
        <w:pStyle w:val="a9"/>
        <w:numPr>
          <w:ilvl w:val="0"/>
          <w:numId w:val="9"/>
        </w:numPr>
        <w:rPr>
          <w:b/>
          <w:bCs/>
        </w:rPr>
      </w:pPr>
      <w:r w:rsidRPr="00B67ABC">
        <w:rPr>
          <w:b/>
          <w:bCs/>
        </w:rPr>
        <w:t xml:space="preserve">文档 </w:t>
      </w:r>
    </w:p>
    <w:p w14:paraId="074AFD4D" w14:textId="43792F84" w:rsidR="00B67ABC" w:rsidRPr="00B67ABC" w:rsidRDefault="00B67ABC" w:rsidP="00B67ABC">
      <w:pPr>
        <w:pStyle w:val="af2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51F812" wp14:editId="0512E247">
            <wp:extent cx="5274310" cy="2637155"/>
            <wp:effectExtent l="0" t="0" r="2540" b="0"/>
            <wp:docPr id="2980724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D009" w14:textId="77777777" w:rsidR="006348F4" w:rsidRPr="006348F4" w:rsidRDefault="006348F4" w:rsidP="006348F4">
      <w:pPr>
        <w:numPr>
          <w:ilvl w:val="0"/>
          <w:numId w:val="6"/>
        </w:numPr>
        <w:rPr>
          <w:rFonts w:hint="eastAsia"/>
        </w:rPr>
      </w:pPr>
      <w:r w:rsidRPr="006348F4">
        <w:rPr>
          <w:b/>
          <w:bCs/>
        </w:rPr>
        <w:t>论文标题：</w:t>
      </w:r>
      <w:r w:rsidRPr="006348F4">
        <w:t xml:space="preserve"> Some lessons learned from the development and updating processes of the probabilistic safety assessments of Daya Bay nuclear power plant</w:t>
      </w:r>
    </w:p>
    <w:p w14:paraId="65F2A523" w14:textId="77777777" w:rsidR="006348F4" w:rsidRPr="006348F4" w:rsidRDefault="006348F4" w:rsidP="006348F4">
      <w:pPr>
        <w:numPr>
          <w:ilvl w:val="0"/>
          <w:numId w:val="6"/>
        </w:numPr>
        <w:rPr>
          <w:rFonts w:hint="eastAsia"/>
        </w:rPr>
      </w:pPr>
      <w:r w:rsidRPr="006348F4">
        <w:rPr>
          <w:b/>
          <w:bCs/>
        </w:rPr>
        <w:t>对应主题：T13 (概率安全评价 / Probabilistic Safety Assessment, PSA)</w:t>
      </w:r>
    </w:p>
    <w:p w14:paraId="28B60E93" w14:textId="77777777" w:rsidR="006348F4" w:rsidRPr="006348F4" w:rsidRDefault="006348F4" w:rsidP="006348F4">
      <w:pPr>
        <w:numPr>
          <w:ilvl w:val="0"/>
          <w:numId w:val="6"/>
        </w:numPr>
        <w:rPr>
          <w:rFonts w:hint="eastAsia"/>
        </w:rPr>
      </w:pPr>
      <w:r w:rsidRPr="006348F4">
        <w:rPr>
          <w:b/>
          <w:bCs/>
        </w:rPr>
        <w:lastRenderedPageBreak/>
        <w:t>主题贴合性：</w:t>
      </w:r>
      <w:r w:rsidRPr="006348F4">
        <w:t xml:space="preserve"> 标题与摘要直指核心关键词“概率安全评价” (probabilistic safety assessment, PSA)。</w:t>
      </w:r>
    </w:p>
    <w:p w14:paraId="6B59F597" w14:textId="77777777" w:rsidR="006348F4" w:rsidRPr="006348F4" w:rsidRDefault="006348F4" w:rsidP="006348F4">
      <w:pPr>
        <w:numPr>
          <w:ilvl w:val="0"/>
          <w:numId w:val="6"/>
        </w:numPr>
        <w:rPr>
          <w:rFonts w:hint="eastAsia"/>
        </w:rPr>
      </w:pPr>
      <w:r w:rsidRPr="006348F4">
        <w:rPr>
          <w:b/>
          <w:bCs/>
        </w:rPr>
        <w:t>创新点：</w:t>
      </w:r>
      <w:r w:rsidRPr="006348F4">
        <w:t xml:space="preserve"> 偏向</w:t>
      </w:r>
      <w:r w:rsidRPr="006348F4">
        <w:rPr>
          <w:b/>
          <w:bCs/>
        </w:rPr>
        <w:t>工程应用与方法论创新</w:t>
      </w:r>
      <w:r w:rsidRPr="006348F4">
        <w:t>。它没有空谈理论模型，而是基于中国大亚湾核电站的真实工程实践，总结了在开发和“动态更新”PSA模型过程中的经验教训。文章强调 PSA 模型不能为了建而建，必须与决策应用需求紧密结合，为中国乃至全球核电站的风险管理落地提供了极具价值的工程指导。</w:t>
      </w:r>
    </w:p>
    <w:p w14:paraId="752F9A0A" w14:textId="0EC7F6B2" w:rsidR="006348F4" w:rsidRPr="00B67ABC" w:rsidRDefault="006348F4" w:rsidP="00B67ABC">
      <w:pPr>
        <w:pStyle w:val="a9"/>
        <w:numPr>
          <w:ilvl w:val="0"/>
          <w:numId w:val="9"/>
        </w:numPr>
        <w:rPr>
          <w:b/>
          <w:bCs/>
        </w:rPr>
      </w:pPr>
      <w:r w:rsidRPr="00B67ABC">
        <w:rPr>
          <w:b/>
          <w:bCs/>
        </w:rPr>
        <w:t xml:space="preserve">文档 </w:t>
      </w:r>
    </w:p>
    <w:p w14:paraId="40758C98" w14:textId="627F5624" w:rsidR="00B67ABC" w:rsidRDefault="00B67ABC" w:rsidP="00B67ABC">
      <w:pPr>
        <w:pStyle w:val="af2"/>
      </w:pPr>
      <w:r>
        <w:rPr>
          <w:rFonts w:hint="eastAsia"/>
          <w:noProof/>
        </w:rPr>
        <w:drawing>
          <wp:inline distT="0" distB="0" distL="0" distR="0" wp14:anchorId="5F7FAF50" wp14:editId="06C22E85">
            <wp:extent cx="5274310" cy="2637155"/>
            <wp:effectExtent l="0" t="0" r="2540" b="0"/>
            <wp:docPr id="11009497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5A1A" w14:textId="77777777" w:rsidR="00B67ABC" w:rsidRPr="00B67ABC" w:rsidRDefault="00B67ABC" w:rsidP="00B67ABC">
      <w:pPr>
        <w:pStyle w:val="a9"/>
        <w:ind w:left="360"/>
        <w:rPr>
          <w:rFonts w:hint="eastAsia"/>
          <w:b/>
          <w:bCs/>
        </w:rPr>
      </w:pPr>
    </w:p>
    <w:p w14:paraId="3E3558F6" w14:textId="77777777" w:rsidR="006348F4" w:rsidRPr="006348F4" w:rsidRDefault="006348F4" w:rsidP="006348F4">
      <w:pPr>
        <w:numPr>
          <w:ilvl w:val="0"/>
          <w:numId w:val="7"/>
        </w:numPr>
        <w:rPr>
          <w:rFonts w:hint="eastAsia"/>
        </w:rPr>
      </w:pPr>
      <w:r w:rsidRPr="006348F4">
        <w:rPr>
          <w:b/>
          <w:bCs/>
        </w:rPr>
        <w:t>论文标题：</w:t>
      </w:r>
      <w:r w:rsidRPr="006348F4">
        <w:t xml:space="preserve"> Design of a management information system for the Shielding Experimental Reactor ageing management</w:t>
      </w:r>
    </w:p>
    <w:p w14:paraId="1FA29B6D" w14:textId="77777777" w:rsidR="006348F4" w:rsidRPr="006348F4" w:rsidRDefault="006348F4" w:rsidP="006348F4">
      <w:pPr>
        <w:numPr>
          <w:ilvl w:val="0"/>
          <w:numId w:val="7"/>
        </w:numPr>
        <w:rPr>
          <w:rFonts w:hint="eastAsia"/>
        </w:rPr>
      </w:pPr>
      <w:r w:rsidRPr="006348F4">
        <w:rPr>
          <w:b/>
          <w:bCs/>
        </w:rPr>
        <w:t>对应主题：T27 (宏观核电安全管理 / Safety Management &amp; Design)</w:t>
      </w:r>
    </w:p>
    <w:p w14:paraId="3C317811" w14:textId="77777777" w:rsidR="006348F4" w:rsidRPr="006348F4" w:rsidRDefault="006348F4" w:rsidP="006348F4">
      <w:pPr>
        <w:numPr>
          <w:ilvl w:val="0"/>
          <w:numId w:val="7"/>
        </w:numPr>
        <w:rPr>
          <w:rFonts w:hint="eastAsia"/>
        </w:rPr>
      </w:pPr>
      <w:r w:rsidRPr="006348F4">
        <w:rPr>
          <w:b/>
          <w:bCs/>
        </w:rPr>
        <w:t>主题贴合性：</w:t>
      </w:r>
      <w:r w:rsidRPr="006348F4">
        <w:t xml:space="preserve"> 关注“核反应堆老化管理” (reactor ageing management)、“定期安全审查” (periodic safety review) 和信息系</w:t>
      </w:r>
      <w:r w:rsidRPr="006348F4">
        <w:lastRenderedPageBreak/>
        <w:t>统。</w:t>
      </w:r>
    </w:p>
    <w:p w14:paraId="50D80B5A" w14:textId="77777777" w:rsidR="006348F4" w:rsidRPr="006348F4" w:rsidRDefault="006348F4" w:rsidP="006348F4">
      <w:pPr>
        <w:numPr>
          <w:ilvl w:val="0"/>
          <w:numId w:val="7"/>
        </w:numPr>
        <w:rPr>
          <w:rFonts w:hint="eastAsia"/>
        </w:rPr>
      </w:pPr>
      <w:r w:rsidRPr="006348F4">
        <w:rPr>
          <w:b/>
          <w:bCs/>
        </w:rPr>
        <w:t>创新点：</w:t>
      </w:r>
      <w:r w:rsidRPr="006348F4">
        <w:t xml:space="preserve"> 针对</w:t>
      </w:r>
      <w:r w:rsidRPr="006348F4">
        <w:rPr>
          <w:b/>
          <w:bCs/>
        </w:rPr>
        <w:t>研究型反应堆 (research reactors)</w:t>
      </w:r>
      <w:r w:rsidRPr="006348F4">
        <w:t xml:space="preserve"> 老化管理专业软件匮乏的痛点，开发了一套基于Web的全新管理信息系统（SERAMIS）。该系统利用 J2EE 三层架构和 MVC 模型，将设备数据检索、安全审查法规参考和结构组件(SSCs)的分类方法固化到软件流程中，极大提升了研究堆的安全管理效率。</w:t>
      </w:r>
    </w:p>
    <w:p w14:paraId="0B385A1C" w14:textId="77777777" w:rsidR="006348F4" w:rsidRPr="006348F4" w:rsidRDefault="00000000" w:rsidP="006348F4">
      <w:pPr>
        <w:rPr>
          <w:rFonts w:hint="eastAsia"/>
        </w:rPr>
      </w:pPr>
      <w:r>
        <w:pict w14:anchorId="6A199F76">
          <v:rect id="_x0000_i1025" style="width:0;height:1.5pt" o:hralign="center" o:hrstd="t" o:hr="t" fillcolor="#a0a0a0" stroked="f"/>
        </w:pict>
      </w:r>
    </w:p>
    <w:p w14:paraId="5442FE8A" w14:textId="77777777" w:rsidR="00B67ABC" w:rsidRDefault="00B67ABC" w:rsidP="006348F4"/>
    <w:p w14:paraId="233E23A0" w14:textId="03D9C40E" w:rsidR="00A500E3" w:rsidRDefault="00A500E3" w:rsidP="006348F4">
      <w:pPr>
        <w:rPr>
          <w:rFonts w:hint="eastAsia"/>
        </w:rPr>
      </w:pPr>
      <w:r>
        <w:rPr>
          <w:rFonts w:hint="eastAsia"/>
        </w:rPr>
        <w:t>Us_only</w:t>
      </w:r>
    </w:p>
    <w:p w14:paraId="6E9C8CFF" w14:textId="5131F03A" w:rsidR="00A500E3" w:rsidRDefault="00A500E3" w:rsidP="00A500E3">
      <w:pPr>
        <w:rPr>
          <w:b/>
          <w:bCs/>
        </w:rPr>
      </w:pPr>
      <w:r w:rsidRPr="00A500E3">
        <w:rPr>
          <w:b/>
          <w:bCs/>
        </w:rPr>
        <w:t>该论文的核心创新点 (Innovations)</w:t>
      </w:r>
    </w:p>
    <w:p w14:paraId="16103ED2" w14:textId="661B9542" w:rsidR="00B67ABC" w:rsidRPr="00A500E3" w:rsidRDefault="00B67ABC" w:rsidP="00A500E3">
      <w:pPr>
        <w:rPr>
          <w:rFonts w:hint="eastAsia"/>
          <w:b/>
          <w:bCs/>
        </w:rPr>
      </w:pPr>
      <w:r>
        <w:rPr>
          <w:rFonts w:hint="eastAsia"/>
          <w:b/>
          <w:bCs/>
        </w:rPr>
        <w:t>对应主题T21</w:t>
      </w:r>
      <w:r w:rsidR="00FC35BC">
        <w:rPr>
          <w:rFonts w:hint="eastAsia"/>
          <w:b/>
          <w:bCs/>
        </w:rPr>
        <w:t>（切尔诺贝利事件相关研究）</w:t>
      </w:r>
    </w:p>
    <w:p w14:paraId="06D9FB51" w14:textId="77777777" w:rsidR="00A500E3" w:rsidRPr="00A500E3" w:rsidRDefault="00A500E3" w:rsidP="00A500E3">
      <w:pPr>
        <w:rPr>
          <w:rFonts w:hint="eastAsia"/>
        </w:rPr>
      </w:pPr>
      <w:r w:rsidRPr="00A500E3">
        <w:t>在2008年左右，科学家虽然已经观察到某些真菌能在切尔诺贝利等极强辐射区“繁荣生长”，但对其背后的具体机制了解并不透彻。这篇论文的创新点在于</w:t>
      </w:r>
      <w:r w:rsidRPr="00A500E3">
        <w:rPr>
          <w:b/>
          <w:bCs/>
        </w:rPr>
        <w:t>从宏观现象深入到了微观物理化学机制的定量分析</w:t>
      </w:r>
      <w:r w:rsidRPr="00A500E3">
        <w:t>：</w:t>
      </w:r>
    </w:p>
    <w:p w14:paraId="738AFC75" w14:textId="77777777" w:rsidR="00A500E3" w:rsidRPr="00A500E3" w:rsidRDefault="00A500E3" w:rsidP="00A500E3">
      <w:pPr>
        <w:rPr>
          <w:rFonts w:hint="eastAsia"/>
        </w:rPr>
      </w:pPr>
      <w:r w:rsidRPr="00A500E3">
        <w:rPr>
          <w:b/>
          <w:bCs/>
        </w:rPr>
        <w:t>1. 明确提出了“物理屏蔽+化学猝灭”的双重防护假说并加以证实</w:t>
      </w:r>
    </w:p>
    <w:p w14:paraId="360410E3" w14:textId="77777777" w:rsidR="00A500E3" w:rsidRPr="00A500E3" w:rsidRDefault="00A500E3" w:rsidP="00A500E3">
      <w:pPr>
        <w:numPr>
          <w:ilvl w:val="0"/>
          <w:numId w:val="8"/>
        </w:numPr>
        <w:rPr>
          <w:rFonts w:hint="eastAsia"/>
        </w:rPr>
      </w:pPr>
      <w:r w:rsidRPr="00A500E3">
        <w:rPr>
          <w:b/>
          <w:bCs/>
        </w:rPr>
        <w:t>创新突破：</w:t>
      </w:r>
      <w:r w:rsidRPr="00A500E3">
        <w:t xml:space="preserve"> 过去可能认为黑色素仅仅像一面“物理盾牌”挡住辐射。但这篇论文提出并验证了，黑色素对微生物的辐射防护是**物理屏蔽（包括康普顿散射）</w:t>
      </w:r>
      <w:r w:rsidRPr="00A500E3">
        <w:rPr>
          <w:b/>
          <w:bCs/>
        </w:rPr>
        <w:t>和</w:t>
      </w:r>
      <w:r w:rsidRPr="00A500E3">
        <w:t>化学猝灭（吸收并中和辐射产生的致命自由基）**共同作用的结果。</w:t>
      </w:r>
    </w:p>
    <w:p w14:paraId="045F498B" w14:textId="77777777" w:rsidR="00A500E3" w:rsidRPr="00A500E3" w:rsidRDefault="00A500E3" w:rsidP="006348F4">
      <w:pPr>
        <w:rPr>
          <w:rFonts w:hint="eastAsia"/>
        </w:rPr>
      </w:pPr>
    </w:p>
    <w:p w14:paraId="020D65B9" w14:textId="77777777" w:rsidR="00B90D23" w:rsidRPr="006348F4" w:rsidRDefault="00B90D23">
      <w:pPr>
        <w:rPr>
          <w:rFonts w:hint="eastAsia"/>
        </w:rPr>
      </w:pPr>
    </w:p>
    <w:sectPr w:rsidR="00B90D23" w:rsidRPr="00634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FDE7" w14:textId="77777777" w:rsidR="006A7C4F" w:rsidRDefault="006A7C4F" w:rsidP="006348F4">
      <w:pPr>
        <w:rPr>
          <w:rFonts w:hint="eastAsia"/>
        </w:rPr>
      </w:pPr>
      <w:r>
        <w:separator/>
      </w:r>
    </w:p>
  </w:endnote>
  <w:endnote w:type="continuationSeparator" w:id="0">
    <w:p w14:paraId="0040F61D" w14:textId="77777777" w:rsidR="006A7C4F" w:rsidRDefault="006A7C4F" w:rsidP="006348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9992" w14:textId="77777777" w:rsidR="006A7C4F" w:rsidRDefault="006A7C4F" w:rsidP="006348F4">
      <w:pPr>
        <w:rPr>
          <w:rFonts w:hint="eastAsia"/>
        </w:rPr>
      </w:pPr>
      <w:r>
        <w:separator/>
      </w:r>
    </w:p>
  </w:footnote>
  <w:footnote w:type="continuationSeparator" w:id="0">
    <w:p w14:paraId="553949DC" w14:textId="77777777" w:rsidR="006A7C4F" w:rsidRDefault="006A7C4F" w:rsidP="006348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C94"/>
    <w:multiLevelType w:val="multilevel"/>
    <w:tmpl w:val="66B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83612"/>
    <w:multiLevelType w:val="multilevel"/>
    <w:tmpl w:val="04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379A5"/>
    <w:multiLevelType w:val="multilevel"/>
    <w:tmpl w:val="004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E3E62"/>
    <w:multiLevelType w:val="multilevel"/>
    <w:tmpl w:val="0B6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A5DF2"/>
    <w:multiLevelType w:val="hybridMultilevel"/>
    <w:tmpl w:val="39442E3C"/>
    <w:lvl w:ilvl="0" w:tplc="7236E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9A570E"/>
    <w:multiLevelType w:val="multilevel"/>
    <w:tmpl w:val="DE6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52335"/>
    <w:multiLevelType w:val="multilevel"/>
    <w:tmpl w:val="9DD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72EB1"/>
    <w:multiLevelType w:val="multilevel"/>
    <w:tmpl w:val="EEE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270B8"/>
    <w:multiLevelType w:val="multilevel"/>
    <w:tmpl w:val="0A06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85700">
    <w:abstractNumId w:val="6"/>
  </w:num>
  <w:num w:numId="2" w16cid:durableId="591397924">
    <w:abstractNumId w:val="0"/>
  </w:num>
  <w:num w:numId="3" w16cid:durableId="1122380843">
    <w:abstractNumId w:val="8"/>
  </w:num>
  <w:num w:numId="4" w16cid:durableId="619920110">
    <w:abstractNumId w:val="2"/>
  </w:num>
  <w:num w:numId="5" w16cid:durableId="2134400419">
    <w:abstractNumId w:val="5"/>
  </w:num>
  <w:num w:numId="6" w16cid:durableId="1059481321">
    <w:abstractNumId w:val="7"/>
  </w:num>
  <w:num w:numId="7" w16cid:durableId="2018725695">
    <w:abstractNumId w:val="3"/>
  </w:num>
  <w:num w:numId="8" w16cid:durableId="989869552">
    <w:abstractNumId w:val="1"/>
  </w:num>
  <w:num w:numId="9" w16cid:durableId="344326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BC"/>
    <w:rsid w:val="000352BC"/>
    <w:rsid w:val="0034213F"/>
    <w:rsid w:val="004E4F20"/>
    <w:rsid w:val="005F1FE2"/>
    <w:rsid w:val="006348F4"/>
    <w:rsid w:val="006A7C4F"/>
    <w:rsid w:val="00A500E3"/>
    <w:rsid w:val="00B67ABC"/>
    <w:rsid w:val="00B90D23"/>
    <w:rsid w:val="00B93CBD"/>
    <w:rsid w:val="00CC7E2F"/>
    <w:rsid w:val="00D47EC6"/>
    <w:rsid w:val="00E05A90"/>
    <w:rsid w:val="00FA1597"/>
    <w:rsid w:val="00FC35BC"/>
    <w:rsid w:val="00FC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7F473"/>
  <w15:chartTrackingRefBased/>
  <w15:docId w15:val="{3A91A928-CE60-4565-9880-A8706387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52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2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2B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2B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2B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2B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2B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2B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2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2B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2BC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52B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2B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2B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2B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2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2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2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2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2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2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2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2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48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48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48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48F4"/>
    <w:rPr>
      <w:sz w:val="18"/>
      <w:szCs w:val="18"/>
    </w:rPr>
  </w:style>
  <w:style w:type="paragraph" w:styleId="af2">
    <w:name w:val="Normal (Web)"/>
    <w:basedOn w:val="a"/>
    <w:uiPriority w:val="99"/>
    <w:unhideWhenUsed/>
    <w:rsid w:val="00B67A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佩奇 郑</dc:creator>
  <cp:keywords/>
  <dc:description/>
  <cp:lastModifiedBy>佩奇 郑</cp:lastModifiedBy>
  <cp:revision>5</cp:revision>
  <dcterms:created xsi:type="dcterms:W3CDTF">2026-03-08T07:33:00Z</dcterms:created>
  <dcterms:modified xsi:type="dcterms:W3CDTF">2026-03-08T09:13:00Z</dcterms:modified>
</cp:coreProperties>
</file>