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87" w:rsidRPr="00125F86" w:rsidRDefault="00CE2F0A">
      <w:pPr>
        <w:rPr>
          <w:b/>
          <w:sz w:val="24"/>
        </w:rPr>
      </w:pPr>
      <w:r w:rsidRPr="00125F86">
        <w:rPr>
          <w:b/>
          <w:sz w:val="24"/>
        </w:rPr>
        <w:t xml:space="preserve">Documentation </w:t>
      </w:r>
      <w:proofErr w:type="gramStart"/>
      <w:r w:rsidRPr="00125F86">
        <w:rPr>
          <w:b/>
          <w:sz w:val="24"/>
        </w:rPr>
        <w:t>For</w:t>
      </w:r>
      <w:proofErr w:type="gramEnd"/>
      <w:r w:rsidRPr="00125F86">
        <w:rPr>
          <w:b/>
          <w:sz w:val="24"/>
        </w:rPr>
        <w:t xml:space="preserve"> Response Model</w:t>
      </w:r>
    </w:p>
    <w:p w:rsidR="00CE2F0A" w:rsidRPr="00891A9A" w:rsidRDefault="00CE2F0A">
      <w:pPr>
        <w:rPr>
          <w:b/>
          <w:sz w:val="24"/>
        </w:rPr>
      </w:pPr>
      <w:r w:rsidRPr="00891A9A">
        <w:rPr>
          <w:b/>
          <w:sz w:val="24"/>
        </w:rPr>
        <w:t>Summary:</w:t>
      </w:r>
    </w:p>
    <w:p w:rsidR="00B52D53" w:rsidRDefault="00CE2F0A">
      <w:r>
        <w:t>The question we would lik</w:t>
      </w:r>
      <w:r w:rsidR="00B52D53">
        <w:t xml:space="preserve">e to address here is whether a </w:t>
      </w:r>
      <w:r>
        <w:t xml:space="preserve">customer will respond to our $25 </w:t>
      </w:r>
      <w:r w:rsidR="00B52D53">
        <w:t xml:space="preserve">cashback </w:t>
      </w:r>
      <w:r>
        <w:t xml:space="preserve">offer. </w:t>
      </w:r>
      <w:r w:rsidR="00B52D53">
        <w:t xml:space="preserve">To do this, data from the 2014 debit card campaign is used for modeling to identify what differentiate a respondent from non-respondent. </w:t>
      </w:r>
      <w:r>
        <w:t xml:space="preserve">In 2014, we sent out 10394 promotion emails to customer and got 159 responses (1.5%). </w:t>
      </w:r>
    </w:p>
    <w:p w:rsidR="00FD6878" w:rsidRPr="00891A9A" w:rsidRDefault="00EE4A31">
      <w:pPr>
        <w:rPr>
          <w:b/>
          <w:sz w:val="24"/>
        </w:rPr>
      </w:pPr>
      <w:r w:rsidRPr="00891A9A">
        <w:rPr>
          <w:b/>
          <w:sz w:val="24"/>
        </w:rPr>
        <w:t>Assumption</w:t>
      </w:r>
      <w:r w:rsidR="00FF17A6" w:rsidRPr="00891A9A">
        <w:rPr>
          <w:b/>
          <w:sz w:val="24"/>
        </w:rPr>
        <w:t xml:space="preserve">s </w:t>
      </w:r>
      <w:r w:rsidRPr="00891A9A">
        <w:rPr>
          <w:b/>
          <w:sz w:val="24"/>
        </w:rPr>
        <w:t>Before modeling:</w:t>
      </w:r>
    </w:p>
    <w:p w:rsidR="00EE4A31" w:rsidRDefault="00EE4A31">
      <w:r>
        <w:t>It should be noted that there are</w:t>
      </w:r>
      <w:r w:rsidR="00891A9A">
        <w:t xml:space="preserve"> few</w:t>
      </w:r>
      <w:r>
        <w:t xml:space="preserve"> assumptions we need to make before</w:t>
      </w:r>
      <w:r w:rsidR="00891A9A">
        <w:t xml:space="preserve"> modeling</w:t>
      </w:r>
      <w:r>
        <w:t xml:space="preserve">. The model will be built on the data from 2014, with people who responded as y=1 group and who didn’t respond as y=0 group. However, the </w:t>
      </w:r>
      <w:r w:rsidR="00891A9A">
        <w:t xml:space="preserve">list was </w:t>
      </w:r>
      <w:r w:rsidR="00B52D53">
        <w:t>already after selection</w:t>
      </w:r>
      <w:r w:rsidR="00891A9A">
        <w:t xml:space="preserve"> by the model John built in 2014</w:t>
      </w:r>
      <w:r w:rsidR="009F10A8">
        <w:t>, whi</w:t>
      </w:r>
      <w:r w:rsidR="00125F86">
        <w:t xml:space="preserve">ch may not be a counterpart of </w:t>
      </w:r>
      <w:r w:rsidR="009F10A8">
        <w:t>the group we will apply our model to</w:t>
      </w:r>
      <w:r w:rsidR="00FF17A6">
        <w:t xml:space="preserve"> in August</w:t>
      </w:r>
      <w:r w:rsidR="009F10A8">
        <w:t>. So</w:t>
      </w:r>
      <w:r w:rsidR="00125F86">
        <w:t xml:space="preserve"> while we are making an assumption that the customer list in 2014 is an approximate to checking account customer we are targeting</w:t>
      </w:r>
      <w:r w:rsidR="009F10A8">
        <w:t>,</w:t>
      </w:r>
      <w:r w:rsidR="00125F86">
        <w:t xml:space="preserve"> we need to bear in mind that this</w:t>
      </w:r>
      <w:r w:rsidR="009F10A8">
        <w:t xml:space="preserve"> many induce</w:t>
      </w:r>
      <w:r w:rsidR="00125F86">
        <w:t>s</w:t>
      </w:r>
      <w:r w:rsidR="009F10A8">
        <w:t xml:space="preserve"> some biases.</w:t>
      </w:r>
    </w:p>
    <w:p w:rsidR="009F10A8" w:rsidRDefault="009F10A8">
      <w:r>
        <w:t>Another assumption we need to make is aimed to deal with unbalanced dataset. As you may see, 159 vs.</w:t>
      </w:r>
      <w:r w:rsidR="00FF17A6">
        <w:t xml:space="preserve"> </w:t>
      </w:r>
      <w:r>
        <w:t>10000+ indicates the dataset is really unbalance</w:t>
      </w:r>
      <w:r w:rsidR="002A4F72">
        <w:t>d</w:t>
      </w:r>
      <w:r>
        <w:t xml:space="preserve"> and it also shows that the threshold we want to be beat is not 0.5</w:t>
      </w:r>
      <w:r w:rsidR="00FF17A6">
        <w:t xml:space="preserve"> (SAS set 0.5 as a default cut-off point)</w:t>
      </w:r>
      <w:r>
        <w:t xml:space="preserve">. Rather, </w:t>
      </w:r>
      <w:r w:rsidR="002A4F72">
        <w:t xml:space="preserve">if </w:t>
      </w:r>
      <w:r>
        <w:t xml:space="preserve">a person with a probability </w:t>
      </w:r>
      <w:r w:rsidR="002A4F72">
        <w:t xml:space="preserve">obviously </w:t>
      </w:r>
      <w:r>
        <w:t>high</w:t>
      </w:r>
      <w:r w:rsidR="002A4F72">
        <w:t>er</w:t>
      </w:r>
      <w:r>
        <w:t xml:space="preserve"> than 1.5%</w:t>
      </w:r>
      <w:r w:rsidR="002A4F72">
        <w:t xml:space="preserve">, we </w:t>
      </w:r>
      <w:r w:rsidR="00FF17A6">
        <w:t xml:space="preserve">may </w:t>
      </w:r>
      <w:r w:rsidR="002A4F72">
        <w:t xml:space="preserve">have confidence to believe he will </w:t>
      </w:r>
      <w:r w:rsidR="00125F86">
        <w:t xml:space="preserve">be </w:t>
      </w:r>
      <w:r w:rsidR="002A4F72">
        <w:t>mo</w:t>
      </w:r>
      <w:r w:rsidR="00125F86">
        <w:t>re likely to respond than other customers</w:t>
      </w:r>
      <w:r>
        <w:t xml:space="preserve">. </w:t>
      </w:r>
      <w:r w:rsidR="005924CF">
        <w:t>The goal of this model is to outperform random selection rather than achieve a dramatically high response rate.</w:t>
      </w:r>
    </w:p>
    <w:p w:rsidR="00CE2F0A" w:rsidRDefault="009F10A8">
      <w:pPr>
        <w:rPr>
          <w:b/>
          <w:sz w:val="24"/>
        </w:rPr>
      </w:pPr>
      <w:r w:rsidRPr="00125F86">
        <w:rPr>
          <w:b/>
          <w:sz w:val="24"/>
        </w:rPr>
        <w:t>Overview of Variables</w:t>
      </w:r>
    </w:p>
    <w:p w:rsidR="00125F86" w:rsidRPr="00125F86" w:rsidRDefault="00125F86">
      <w:pPr>
        <w:rPr>
          <w:sz w:val="24"/>
        </w:rPr>
      </w:pPr>
      <w:r>
        <w:rPr>
          <w:sz w:val="24"/>
        </w:rPr>
        <w:t>The following is a snapshot of some data points in the dataset, just to give an idea of how the data look like.</w:t>
      </w:r>
    </w:p>
    <w:tbl>
      <w:tblPr>
        <w:tblW w:w="9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60"/>
        <w:gridCol w:w="780"/>
        <w:gridCol w:w="880"/>
        <w:gridCol w:w="1020"/>
        <w:gridCol w:w="740"/>
        <w:gridCol w:w="780"/>
        <w:gridCol w:w="1120"/>
        <w:gridCol w:w="1020"/>
        <w:gridCol w:w="660"/>
        <w:gridCol w:w="1180"/>
        <w:gridCol w:w="400"/>
      </w:tblGrid>
      <w:tr w:rsidR="009757E4" w:rsidTr="005924CF">
        <w:trPr>
          <w:trHeight w:val="5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CIFKEY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Online Range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ATM Range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NASbuck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HOBucket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BillPay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Branch 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SumBookBal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If.response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RMAge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DigitalInFlag</w:t>
            </w:r>
            <w:proofErr w:type="spellEnd"/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Pr="005924CF" w:rsidRDefault="009757E4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5924CF">
              <w:rPr>
                <w:rFonts w:ascii="Calibri" w:hAnsi="Calibri"/>
                <w:b/>
                <w:color w:val="000000"/>
                <w:sz w:val="20"/>
                <w:szCs w:val="20"/>
              </w:rPr>
              <w:t>Age</w:t>
            </w:r>
          </w:p>
        </w:tc>
      </w:tr>
      <w:tr w:rsidR="009757E4" w:rsidTr="005924CF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100-249k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Likely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6363.3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</w:tr>
      <w:tr w:rsidR="009757E4" w:rsidTr="005924CF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100-249k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108539.02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53</w:t>
            </w:r>
          </w:p>
        </w:tc>
      </w:tr>
      <w:tr w:rsidR="009757E4" w:rsidTr="005924CF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&lt;25k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Likely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242.34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76</w:t>
            </w:r>
          </w:p>
        </w:tc>
      </w:tr>
      <w:tr w:rsidR="009757E4" w:rsidTr="005924CF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250-499k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542.73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9757E4" w:rsidTr="005924CF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500-749k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Likely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4482.8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</w:tr>
      <w:tr w:rsidR="009757E4" w:rsidTr="005924CF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100-249k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Likely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4029.64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757E4" w:rsidRDefault="009757E4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66</w:t>
            </w:r>
          </w:p>
        </w:tc>
      </w:tr>
    </w:tbl>
    <w:p w:rsidR="00FF17A6" w:rsidRDefault="00FF17A6"/>
    <w:p w:rsidR="009F10A8" w:rsidRPr="00125F86" w:rsidRDefault="00125F86">
      <w:pPr>
        <w:rPr>
          <w:b/>
          <w:sz w:val="24"/>
        </w:rPr>
      </w:pPr>
      <w:r w:rsidRPr="00125F86">
        <w:rPr>
          <w:b/>
          <w:sz w:val="24"/>
        </w:rPr>
        <w:lastRenderedPageBreak/>
        <w:t>Modeling</w:t>
      </w:r>
    </w:p>
    <w:p w:rsidR="002461F1" w:rsidRDefault="002461F1" w:rsidP="00125F86">
      <w:pPr>
        <w:pStyle w:val="ListParagraph"/>
        <w:numPr>
          <w:ilvl w:val="0"/>
          <w:numId w:val="2"/>
        </w:numPr>
        <w:rPr>
          <w:sz w:val="24"/>
        </w:rPr>
      </w:pPr>
      <w:r w:rsidRPr="00125F86">
        <w:rPr>
          <w:sz w:val="24"/>
        </w:rPr>
        <w:t>Preparation Stage</w:t>
      </w:r>
    </w:p>
    <w:p w:rsidR="00125F86" w:rsidRPr="00125F86" w:rsidRDefault="00125F86" w:rsidP="00125F86">
      <w:pPr>
        <w:pStyle w:val="ListParagraph"/>
        <w:rPr>
          <w:sz w:val="24"/>
        </w:rPr>
      </w:pPr>
    </w:p>
    <w:p w:rsidR="002461F1" w:rsidRDefault="002461F1" w:rsidP="00125F86">
      <w:pPr>
        <w:pStyle w:val="ListParagraph"/>
        <w:numPr>
          <w:ilvl w:val="0"/>
          <w:numId w:val="1"/>
        </w:numPr>
      </w:pPr>
      <w:r>
        <w:t>Check Multicollinearity</w:t>
      </w:r>
    </w:p>
    <w:p w:rsidR="002461F1" w:rsidRDefault="002461F1" w:rsidP="002461F1">
      <w:pPr>
        <w:pStyle w:val="ListParagraph"/>
      </w:pPr>
      <w:r>
        <w:t>If o</w:t>
      </w:r>
      <w:r w:rsidR="00125F86">
        <w:t xml:space="preserve">ne variable is </w:t>
      </w:r>
      <w:proofErr w:type="spellStart"/>
      <w:r w:rsidR="00125F86">
        <w:t>multicollinear</w:t>
      </w:r>
      <w:proofErr w:type="spellEnd"/>
      <w:r>
        <w:t xml:space="preserve"> with other variable</w:t>
      </w:r>
      <w:r w:rsidR="005924CF">
        <w:t>s</w:t>
      </w:r>
      <w:r>
        <w:t xml:space="preserve">, </w:t>
      </w:r>
      <w:r w:rsidR="00125F86">
        <w:t>it means</w:t>
      </w:r>
      <w:r>
        <w:t xml:space="preserve"> the variable can be represented as the linear </w:t>
      </w:r>
      <w:r w:rsidR="005924CF">
        <w:t>combination of other variables and we need to exclude this variable. Fortunately</w:t>
      </w:r>
      <w:r>
        <w:t xml:space="preserve">, multicollinearity is not a problem for this model </w:t>
      </w:r>
      <w:r w:rsidR="005924CF">
        <w:t>according to</w:t>
      </w:r>
      <w:r w:rsidR="001D23A7">
        <w:t xml:space="preserve"> </w:t>
      </w:r>
      <w:r>
        <w:t>VIF test.</w:t>
      </w:r>
    </w:p>
    <w:p w:rsidR="002461F1" w:rsidRDefault="002461F1" w:rsidP="002461F1">
      <w:pPr>
        <w:pStyle w:val="ListParagraph"/>
      </w:pPr>
    </w:p>
    <w:p w:rsidR="009F10A8" w:rsidRDefault="009F10A8" w:rsidP="002461F1">
      <w:pPr>
        <w:pStyle w:val="ListParagraph"/>
        <w:numPr>
          <w:ilvl w:val="0"/>
          <w:numId w:val="1"/>
        </w:numPr>
      </w:pPr>
      <w:r>
        <w:t>Data Cleaning and Imputation</w:t>
      </w:r>
    </w:p>
    <w:p w:rsidR="009757E4" w:rsidRDefault="005924CF">
      <w:r>
        <w:t xml:space="preserve">              </w:t>
      </w:r>
      <w:r w:rsidR="009757E4">
        <w:t xml:space="preserve">There are two variables containing missing values: </w:t>
      </w:r>
      <w:proofErr w:type="spellStart"/>
      <w:r w:rsidR="009757E4">
        <w:t>NASbucks</w:t>
      </w:r>
      <w:proofErr w:type="spellEnd"/>
      <w:r w:rsidR="009757E4">
        <w:t xml:space="preserve"> and </w:t>
      </w:r>
      <w:proofErr w:type="spellStart"/>
      <w:r w:rsidR="009757E4">
        <w:t>HOBucket</w:t>
      </w:r>
      <w:proofErr w:type="spellEnd"/>
      <w:r w:rsidR="009757E4"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54"/>
        <w:gridCol w:w="3192"/>
        <w:gridCol w:w="2814"/>
      </w:tblGrid>
      <w:tr w:rsidR="009757E4" w:rsidTr="005924CF">
        <w:tc>
          <w:tcPr>
            <w:tcW w:w="2454" w:type="dxa"/>
          </w:tcPr>
          <w:p w:rsidR="009757E4" w:rsidRDefault="002461F1">
            <w:r>
              <w:t>Variable Name</w:t>
            </w:r>
          </w:p>
        </w:tc>
        <w:tc>
          <w:tcPr>
            <w:tcW w:w="3192" w:type="dxa"/>
          </w:tcPr>
          <w:p w:rsidR="009757E4" w:rsidRDefault="002461F1">
            <w:r>
              <w:t>Missing</w:t>
            </w:r>
          </w:p>
        </w:tc>
        <w:tc>
          <w:tcPr>
            <w:tcW w:w="2814" w:type="dxa"/>
          </w:tcPr>
          <w:p w:rsidR="009757E4" w:rsidRDefault="002461F1">
            <w:r>
              <w:t>Rate</w:t>
            </w:r>
          </w:p>
        </w:tc>
      </w:tr>
      <w:tr w:rsidR="009757E4" w:rsidTr="005924CF">
        <w:tc>
          <w:tcPr>
            <w:tcW w:w="2454" w:type="dxa"/>
          </w:tcPr>
          <w:p w:rsidR="009757E4" w:rsidRDefault="002461F1">
            <w:proofErr w:type="spellStart"/>
            <w:r>
              <w:t>NASbuck</w:t>
            </w:r>
            <w:proofErr w:type="spellEnd"/>
          </w:p>
        </w:tc>
        <w:tc>
          <w:tcPr>
            <w:tcW w:w="3192" w:type="dxa"/>
          </w:tcPr>
          <w:p w:rsidR="009757E4" w:rsidRDefault="002461F1">
            <w:r>
              <w:t>242</w:t>
            </w:r>
          </w:p>
        </w:tc>
        <w:tc>
          <w:tcPr>
            <w:tcW w:w="2814" w:type="dxa"/>
          </w:tcPr>
          <w:p w:rsidR="009757E4" w:rsidRDefault="002461F1">
            <w:r>
              <w:t>2.3%</w:t>
            </w:r>
          </w:p>
        </w:tc>
      </w:tr>
      <w:tr w:rsidR="009757E4" w:rsidTr="005924CF">
        <w:tc>
          <w:tcPr>
            <w:tcW w:w="2454" w:type="dxa"/>
          </w:tcPr>
          <w:p w:rsidR="009757E4" w:rsidRDefault="002461F1">
            <w:proofErr w:type="spellStart"/>
            <w:r>
              <w:t>HOBucket</w:t>
            </w:r>
            <w:proofErr w:type="spellEnd"/>
          </w:p>
        </w:tc>
        <w:tc>
          <w:tcPr>
            <w:tcW w:w="3192" w:type="dxa"/>
          </w:tcPr>
          <w:p w:rsidR="009757E4" w:rsidRDefault="002461F1">
            <w:r>
              <w:t>1754</w:t>
            </w:r>
          </w:p>
        </w:tc>
        <w:tc>
          <w:tcPr>
            <w:tcW w:w="2814" w:type="dxa"/>
          </w:tcPr>
          <w:p w:rsidR="009757E4" w:rsidRDefault="002461F1">
            <w:r>
              <w:t>16.9%</w:t>
            </w:r>
          </w:p>
        </w:tc>
      </w:tr>
    </w:tbl>
    <w:p w:rsidR="009F10A8" w:rsidRDefault="009F10A8"/>
    <w:p w:rsidR="005924CF" w:rsidRDefault="005924CF" w:rsidP="00D126D6">
      <w:pPr>
        <w:ind w:left="720"/>
      </w:pPr>
      <w:r>
        <w:t xml:space="preserve">            </w:t>
      </w:r>
      <w:r w:rsidR="00875C3A">
        <w:t>There are few ways to deal with missing variables</w:t>
      </w:r>
      <w:r>
        <w:t>,</w:t>
      </w:r>
      <w:r w:rsidR="00875C3A">
        <w:t xml:space="preserve"> including deleting observations with </w:t>
      </w:r>
      <w:proofErr w:type="gramStart"/>
      <w:r w:rsidR="00875C3A">
        <w:t xml:space="preserve">missing </w:t>
      </w:r>
      <w:r>
        <w:t xml:space="preserve"> </w:t>
      </w:r>
      <w:r w:rsidR="00875C3A">
        <w:t>values</w:t>
      </w:r>
      <w:proofErr w:type="gramEnd"/>
      <w:r w:rsidR="00875C3A">
        <w:t xml:space="preserve">, deleting variables with missing values, or do data imputation. In this case, multiple </w:t>
      </w:r>
      <w:proofErr w:type="gramStart"/>
      <w:r w:rsidR="00875C3A">
        <w:t>imputation</w:t>
      </w:r>
      <w:proofErr w:type="gramEnd"/>
      <w:r w:rsidR="00875C3A">
        <w:t xml:space="preserve"> is chosen to handle missing values. To do that, we need to make another ass</w:t>
      </w:r>
      <w:r>
        <w:t>umption about the missing pattern</w:t>
      </w:r>
      <w:r w:rsidR="00875C3A">
        <w:t xml:space="preserve"> for data. The premise of applying imputation is that the probability of being missing is not related to the value of a variable itself. </w:t>
      </w:r>
      <w:r w:rsidR="006530D0">
        <w:t xml:space="preserve">For example, if people with low income have the tendency to avoid reporting their income range than high </w:t>
      </w:r>
      <w:proofErr w:type="spellStart"/>
      <w:r w:rsidR="006530D0">
        <w:t>incomer</w:t>
      </w:r>
      <w:proofErr w:type="spellEnd"/>
      <w:r w:rsidR="006530D0">
        <w:t xml:space="preserve">, applying data imputation in this case would be a problem. In this case, however, we have no idea of how Expedia collected data. So we assume that they collected </w:t>
      </w:r>
      <w:proofErr w:type="spellStart"/>
      <w:r w:rsidR="006530D0">
        <w:t>NASbuck</w:t>
      </w:r>
      <w:proofErr w:type="spellEnd"/>
      <w:r w:rsidR="006530D0">
        <w:t xml:space="preserve"> and </w:t>
      </w:r>
      <w:proofErr w:type="spellStart"/>
      <w:r w:rsidR="006530D0">
        <w:t>HOBucket</w:t>
      </w:r>
      <w:proofErr w:type="spellEnd"/>
      <w:r w:rsidR="006530D0">
        <w:t xml:space="preserve"> indirectly from customer, and thus missing rate is not related with data value itself.</w:t>
      </w:r>
    </w:p>
    <w:p w:rsidR="00D126D6" w:rsidRDefault="00D126D6" w:rsidP="00D126D6">
      <w:pPr>
        <w:ind w:left="720"/>
      </w:pPr>
    </w:p>
    <w:p w:rsidR="00D126D6" w:rsidRDefault="00D126D6" w:rsidP="00D126D6">
      <w:pPr>
        <w:pStyle w:val="ListParagraph"/>
        <w:numPr>
          <w:ilvl w:val="0"/>
          <w:numId w:val="2"/>
        </w:numPr>
      </w:pPr>
      <w:r>
        <w:t>Modeling Process</w:t>
      </w:r>
    </w:p>
    <w:p w:rsidR="00D126D6" w:rsidRDefault="00D126D6" w:rsidP="00D126D6">
      <w:pPr>
        <w:pStyle w:val="ListParagraph"/>
      </w:pPr>
    </w:p>
    <w:p w:rsidR="006530D0" w:rsidRDefault="006530D0" w:rsidP="006530D0">
      <w:pPr>
        <w:pStyle w:val="ListParagraph"/>
        <w:numPr>
          <w:ilvl w:val="0"/>
          <w:numId w:val="1"/>
        </w:numPr>
      </w:pPr>
      <w:r>
        <w:t>Combine insignificant levels</w:t>
      </w:r>
    </w:p>
    <w:p w:rsidR="006530D0" w:rsidRDefault="006530D0" w:rsidP="005924CF">
      <w:pPr>
        <w:ind w:left="720"/>
      </w:pPr>
      <w:r>
        <w:t xml:space="preserve">I ran logistic regression on each variable to see how they are related to response variables individually. Then I combined some factor levels that appear not to be significant. </w:t>
      </w:r>
    </w:p>
    <w:p w:rsidR="006530D0" w:rsidRDefault="005924CF" w:rsidP="006530D0">
      <w:r>
        <w:t xml:space="preserve">             </w:t>
      </w:r>
      <w:r w:rsidR="006530D0">
        <w:rPr>
          <w:noProof/>
        </w:rPr>
        <w:drawing>
          <wp:inline distT="0" distB="0" distL="0" distR="0" wp14:anchorId="73AD1765" wp14:editId="649DEB3C">
            <wp:extent cx="44291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D6" w:rsidRDefault="005924CF" w:rsidP="006530D0">
      <w:r>
        <w:t xml:space="preserve">             </w:t>
      </w:r>
      <w:r w:rsidR="006530D0">
        <w:t xml:space="preserve">For example, I combined some levels for </w:t>
      </w:r>
      <w:proofErr w:type="spellStart"/>
      <w:r w:rsidR="006530D0">
        <w:t>NASbuck</w:t>
      </w:r>
      <w:proofErr w:type="spellEnd"/>
      <w:r w:rsidR="006530D0">
        <w:t xml:space="preserve"> to reduce variable complexity.</w:t>
      </w:r>
    </w:p>
    <w:p w:rsidR="006530D0" w:rsidRDefault="006530D0" w:rsidP="006530D0">
      <w:pPr>
        <w:pStyle w:val="ListParagraph"/>
        <w:numPr>
          <w:ilvl w:val="0"/>
          <w:numId w:val="1"/>
        </w:numPr>
      </w:pPr>
      <w:r>
        <w:lastRenderedPageBreak/>
        <w:t>Identifying influential observations</w:t>
      </w:r>
    </w:p>
    <w:p w:rsidR="002F1C7C" w:rsidRDefault="006530D0" w:rsidP="00D126D6">
      <w:pPr>
        <w:ind w:left="720"/>
      </w:pPr>
      <w:r>
        <w:t>After running a logistic model on all candidate variables, most of the variables appea</w:t>
      </w:r>
      <w:r w:rsidR="002F1C7C">
        <w:t xml:space="preserve">r to be insignificant, even variables like </w:t>
      </w:r>
      <w:proofErr w:type="spellStart"/>
      <w:r w:rsidR="002F1C7C">
        <w:t>SumBookBal</w:t>
      </w:r>
      <w:proofErr w:type="spellEnd"/>
      <w:r w:rsidR="002F1C7C">
        <w:t xml:space="preserve"> that have been proven to be useful. So I tried identifying influential observations (potential outliers) and fit the model again with these data points. Excluding influential observations reduce the vari</w:t>
      </w:r>
      <w:r w:rsidR="005924CF">
        <w:t>ance and made some variable beco</w:t>
      </w:r>
      <w:r w:rsidR="002F1C7C">
        <w:t>me significant.</w:t>
      </w:r>
    </w:p>
    <w:p w:rsidR="002F1C7C" w:rsidRDefault="002F1C7C" w:rsidP="002F1C7C">
      <w:pPr>
        <w:pStyle w:val="ListParagraph"/>
        <w:numPr>
          <w:ilvl w:val="0"/>
          <w:numId w:val="1"/>
        </w:numPr>
      </w:pPr>
      <w:r>
        <w:t xml:space="preserve">Excluding insignificant </w:t>
      </w:r>
      <w:proofErr w:type="spellStart"/>
      <w:r>
        <w:t>varaibles</w:t>
      </w:r>
      <w:proofErr w:type="spellEnd"/>
    </w:p>
    <w:p w:rsidR="00D50DDB" w:rsidRDefault="00D50DDB" w:rsidP="005924CF">
      <w:pPr>
        <w:ind w:left="720"/>
      </w:pPr>
      <w:r>
        <w:t xml:space="preserve">Some variables may be of little importance in predicting response. In this case, p-value of </w:t>
      </w:r>
      <w:proofErr w:type="spellStart"/>
      <w:r>
        <w:t>OnlineRange</w:t>
      </w:r>
      <w:proofErr w:type="spellEnd"/>
      <w:r>
        <w:t xml:space="preserve"> stays very high even I removed influential observations. So we decided to remove this variable.</w:t>
      </w:r>
    </w:p>
    <w:p w:rsidR="00D50DDB" w:rsidRDefault="00D50DDB" w:rsidP="00D50DDB">
      <w:pPr>
        <w:pStyle w:val="ListParagraph"/>
        <w:numPr>
          <w:ilvl w:val="0"/>
          <w:numId w:val="1"/>
        </w:numPr>
      </w:pPr>
      <w:r>
        <w:t>Try second-order terms</w:t>
      </w:r>
    </w:p>
    <w:p w:rsidR="00D50DDB" w:rsidRDefault="00D50DDB" w:rsidP="00D126D6">
      <w:pPr>
        <w:ind w:left="720"/>
      </w:pPr>
      <w:r>
        <w:t xml:space="preserve">The relationships between response variable and predictors are not necessarily linear. So it is necessary to add second-order terms for numeric predictor to test if they are significant. In this Case, none of three candidates second-order term are significant, so we don’t have to worry about that. </w:t>
      </w:r>
    </w:p>
    <w:p w:rsidR="00D50DDB" w:rsidRDefault="00D50DDB" w:rsidP="00D50DDB">
      <w:pPr>
        <w:pStyle w:val="ListParagraph"/>
        <w:numPr>
          <w:ilvl w:val="0"/>
          <w:numId w:val="1"/>
        </w:numPr>
      </w:pPr>
      <w:r>
        <w:t>Interaction</w:t>
      </w:r>
    </w:p>
    <w:p w:rsidR="00D50DDB" w:rsidRDefault="00D50DDB" w:rsidP="00D126D6">
      <w:pPr>
        <w:ind w:left="720"/>
      </w:pPr>
      <w:r>
        <w:t xml:space="preserve">If interaction exists between two variables, then </w:t>
      </w:r>
      <w:r w:rsidR="00F0253C">
        <w:t xml:space="preserve">we can say these two variables exert influence on each other. For example, we consider two variable </w:t>
      </w:r>
      <w:proofErr w:type="spellStart"/>
      <w:r w:rsidR="00F0253C">
        <w:t>ATMRange</w:t>
      </w:r>
      <w:proofErr w:type="spellEnd"/>
      <w:r w:rsidR="00F0253C">
        <w:t xml:space="preserve"> and Age, for people whose ATM usage are low, Age is required to decrease 5 for probability of response to increase by 1%. But for high usage group, we may only need a decrease of 3 in age to yield an increase of 1%. Interaction effect is not considered by linear model, so we need to test if any interaction terms are significant and add them into model.</w:t>
      </w:r>
    </w:p>
    <w:p w:rsidR="009F10A8" w:rsidRDefault="00F0253C" w:rsidP="00D126D6">
      <w:pPr>
        <w:ind w:left="720"/>
      </w:pPr>
      <w:r>
        <w:t xml:space="preserve">In this model, two interactions are found significant after testing. </w:t>
      </w:r>
      <w:proofErr w:type="spellStart"/>
      <w:proofErr w:type="gramStart"/>
      <w:r>
        <w:t>NASbuck</w:t>
      </w:r>
      <w:proofErr w:type="spellEnd"/>
      <w:r>
        <w:t xml:space="preserve"> and </w:t>
      </w:r>
      <w:proofErr w:type="spellStart"/>
      <w:r>
        <w:t>BranchRange</w:t>
      </w:r>
      <w:proofErr w:type="spellEnd"/>
      <w:r>
        <w:t xml:space="preserve"> as well as </w:t>
      </w:r>
      <w:proofErr w:type="spellStart"/>
      <w:r>
        <w:t>ATMRange</w:t>
      </w:r>
      <w:proofErr w:type="spellEnd"/>
      <w:r>
        <w:t xml:space="preserve"> and </w:t>
      </w:r>
      <w:proofErr w:type="spellStart"/>
      <w:r w:rsidRPr="00F0253C">
        <w:t>BranchRange</w:t>
      </w:r>
      <w:proofErr w:type="spellEnd"/>
      <w:r>
        <w:t>.</w:t>
      </w:r>
      <w:proofErr w:type="gramEnd"/>
      <w:r>
        <w:t xml:space="preserve"> Thus, we add interaction terms into the model</w:t>
      </w:r>
      <w:r w:rsidR="00D126D6">
        <w:t xml:space="preserve"> </w:t>
      </w:r>
      <w:proofErr w:type="spellStart"/>
      <w:r w:rsidRPr="00F0253C">
        <w:t>NASbuck</w:t>
      </w:r>
      <w:proofErr w:type="spellEnd"/>
      <w:r w:rsidRPr="00F0253C">
        <w:t>*</w:t>
      </w:r>
      <w:proofErr w:type="spellStart"/>
      <w:r w:rsidRPr="00F0253C">
        <w:t>BranchRange+ATMRange</w:t>
      </w:r>
      <w:proofErr w:type="spellEnd"/>
      <w:r w:rsidRPr="00F0253C">
        <w:t>*</w:t>
      </w:r>
      <w:proofErr w:type="spellStart"/>
      <w:r w:rsidRPr="00F0253C">
        <w:t>BranchRange</w:t>
      </w:r>
      <w:proofErr w:type="spellEnd"/>
      <w:r>
        <w:t xml:space="preserve">. </w:t>
      </w:r>
    </w:p>
    <w:p w:rsidR="009F10A8" w:rsidRDefault="009F10A8" w:rsidP="005B0F08">
      <w:pPr>
        <w:pStyle w:val="ListParagraph"/>
        <w:numPr>
          <w:ilvl w:val="0"/>
          <w:numId w:val="1"/>
        </w:numPr>
      </w:pPr>
      <w:r>
        <w:t>Evaluation</w:t>
      </w:r>
    </w:p>
    <w:p w:rsidR="00D126D6" w:rsidRDefault="00D126D6" w:rsidP="00D126D6">
      <w:pPr>
        <w:pStyle w:val="ListParagraph"/>
      </w:pPr>
    </w:p>
    <w:p w:rsidR="00D126D6" w:rsidRPr="00D126D6" w:rsidRDefault="00D126D6" w:rsidP="00D126D6">
      <w:pPr>
        <w:pStyle w:val="ListParagraph"/>
        <w:rPr>
          <w:b/>
        </w:rPr>
      </w:pPr>
      <w:r w:rsidRPr="00D126D6">
        <w:rPr>
          <w:b/>
        </w:rPr>
        <w:t>Final Model:</w:t>
      </w:r>
    </w:p>
    <w:p w:rsidR="005B0F08" w:rsidRDefault="005B0F08" w:rsidP="005B0F08">
      <w:pPr>
        <w:pStyle w:val="ListParagraph"/>
      </w:pPr>
      <w:r>
        <w:t>model17=</w:t>
      </w:r>
      <w:proofErr w:type="gramStart"/>
      <w:r>
        <w:t>glm(</w:t>
      </w:r>
      <w:proofErr w:type="gramEnd"/>
      <w:r>
        <w:t>If.response~Age+ATMRange+NASbuck+HOBucket+BillPay+BranchRange+SumBookBal+RMAge+DigitalInFlag+NASbuck*BranchRange+ATMRange*BranchRange,data=mydata3,family = binomial)</w:t>
      </w:r>
    </w:p>
    <w:p w:rsidR="005B0F08" w:rsidRDefault="005B0F08" w:rsidP="005B0F08">
      <w:pPr>
        <w:pStyle w:val="ListParagraph"/>
      </w:pPr>
    </w:p>
    <w:p w:rsidR="005B0F08" w:rsidRDefault="005B0F08" w:rsidP="005B0F08">
      <w:pPr>
        <w:pStyle w:val="ListParagraph"/>
      </w:pPr>
      <w:r>
        <w:t xml:space="preserve">Above is the final response model. However, this is not the end of model </w:t>
      </w:r>
      <w:proofErr w:type="gramStart"/>
      <w:r>
        <w:t>building,</w:t>
      </w:r>
      <w:proofErr w:type="gramEnd"/>
      <w:r>
        <w:t xml:space="preserve"> we still need to evaluate how effective this model is.  So I calculate </w:t>
      </w:r>
      <w:proofErr w:type="spellStart"/>
      <w:r>
        <w:t>auc</w:t>
      </w:r>
      <w:proofErr w:type="spellEnd"/>
      <w:r>
        <w:t xml:space="preserve"> value of the model. Roc means the overall classification rate for the model, sensitivity (true positive) means the percentage the true 1 are classified as 1 in the model, and specificity (true negative) means the percentage of the </w:t>
      </w:r>
      <w:r>
        <w:lastRenderedPageBreak/>
        <w:t>true 0 are classified as 0 in the model.</w:t>
      </w:r>
      <w:r w:rsidR="00C31477">
        <w:t xml:space="preserve"> We are supposed to pay more attention on sensitivity rate in this case</w:t>
      </w:r>
      <w:r>
        <w:t xml:space="preserve"> because the cost of missing a potential respondent is</w:t>
      </w:r>
      <w:r w:rsidR="00C31477">
        <w:t xml:space="preserve"> much larger than the cost of sending one more email to a person who is not going to respond (email is costless!). So our goal becomes how to maximize the sensitivity given a certain number of </w:t>
      </w:r>
      <w:proofErr w:type="gramStart"/>
      <w:r w:rsidR="00C31477">
        <w:t>email</w:t>
      </w:r>
      <w:proofErr w:type="gramEnd"/>
      <w:r w:rsidR="00C31477">
        <w:t xml:space="preserve"> sent.</w:t>
      </w:r>
    </w:p>
    <w:p w:rsidR="005B0F08" w:rsidRDefault="005B0F08" w:rsidP="005B0F08">
      <w:pPr>
        <w:pStyle w:val="ListParagraph"/>
      </w:pPr>
      <w:r>
        <w:rPr>
          <w:noProof/>
        </w:rPr>
        <w:drawing>
          <wp:inline distT="0" distB="0" distL="0" distR="0" wp14:anchorId="40598635" wp14:editId="1F06EA42">
            <wp:extent cx="36766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08" w:rsidRDefault="005B0F08" w:rsidP="005B0F08">
      <w:pPr>
        <w:pStyle w:val="ListParagraph"/>
      </w:pPr>
      <w:r>
        <w:rPr>
          <w:noProof/>
        </w:rPr>
        <w:drawing>
          <wp:inline distT="0" distB="0" distL="0" distR="0" wp14:anchorId="3921BC15" wp14:editId="5789D24C">
            <wp:extent cx="4409524" cy="41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77" w:rsidRDefault="00C31477" w:rsidP="005B0F08">
      <w:pPr>
        <w:pStyle w:val="ListParagraph"/>
      </w:pPr>
    </w:p>
    <w:p w:rsidR="00C31477" w:rsidRDefault="00C31477" w:rsidP="005B0F08">
      <w:pPr>
        <w:pStyle w:val="ListParagraph"/>
      </w:pPr>
      <w:r>
        <w:t>As I mentioned before, the predicted probability of response should be very low because of unbalanced sample. The plot of probability confirms my expectatio</w:t>
      </w:r>
      <w:r w:rsidR="00D126D6">
        <w:t>n. All the predicted probabilities are</w:t>
      </w:r>
      <w:r>
        <w:t xml:space="preserve"> below 20%.  If the cut-off point is set to 1.5%, we have following classification table.</w:t>
      </w:r>
    </w:p>
    <w:p w:rsidR="00C31477" w:rsidRDefault="00C31477" w:rsidP="005B0F08">
      <w:pPr>
        <w:pStyle w:val="ListParagraph"/>
      </w:pPr>
      <w:r>
        <w:rPr>
          <w:noProof/>
        </w:rPr>
        <w:lastRenderedPageBreak/>
        <w:drawing>
          <wp:inline distT="0" distB="0" distL="0" distR="0" wp14:anchorId="700CA3D8" wp14:editId="1F4396FA">
            <wp:extent cx="2518913" cy="235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581" cy="2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77" w:rsidRDefault="00C31477" w:rsidP="005B0F08">
      <w:pPr>
        <w:pStyle w:val="ListParagraph"/>
      </w:pPr>
      <w:r>
        <w:rPr>
          <w:noProof/>
        </w:rPr>
        <w:drawing>
          <wp:inline distT="0" distB="0" distL="0" distR="0" wp14:anchorId="3C3A6FFF" wp14:editId="51A63C8F">
            <wp:extent cx="18954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77" w:rsidRDefault="00C31477" w:rsidP="005B0F08">
      <w:pPr>
        <w:pStyle w:val="ListParagraph"/>
      </w:pPr>
      <w:r>
        <w:t>If the cut-off point is set to 1.1%, we have classification table as follow</w:t>
      </w:r>
    </w:p>
    <w:p w:rsidR="00C31477" w:rsidRDefault="00C31477" w:rsidP="005B0F08">
      <w:pPr>
        <w:pStyle w:val="ListParagraph"/>
      </w:pPr>
      <w:r>
        <w:rPr>
          <w:noProof/>
        </w:rPr>
        <w:drawing>
          <wp:inline distT="0" distB="0" distL="0" distR="0" wp14:anchorId="536A8354" wp14:editId="16CBF131">
            <wp:extent cx="16287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A8" w:rsidRDefault="009F10A8">
      <w:bookmarkStart w:id="0" w:name="_GoBack"/>
      <w:bookmarkEnd w:id="0"/>
    </w:p>
    <w:sectPr w:rsidR="009F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C01A5"/>
    <w:multiLevelType w:val="hybridMultilevel"/>
    <w:tmpl w:val="675A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A3421"/>
    <w:multiLevelType w:val="hybridMultilevel"/>
    <w:tmpl w:val="65EA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0A"/>
    <w:rsid w:val="00001887"/>
    <w:rsid w:val="00125F86"/>
    <w:rsid w:val="00177771"/>
    <w:rsid w:val="001D23A7"/>
    <w:rsid w:val="002461F1"/>
    <w:rsid w:val="002A2C2E"/>
    <w:rsid w:val="002A4F72"/>
    <w:rsid w:val="002F1C7C"/>
    <w:rsid w:val="005924CF"/>
    <w:rsid w:val="005B0F08"/>
    <w:rsid w:val="006530D0"/>
    <w:rsid w:val="00875C3A"/>
    <w:rsid w:val="00891A9A"/>
    <w:rsid w:val="009757E4"/>
    <w:rsid w:val="009F10A8"/>
    <w:rsid w:val="00B52D53"/>
    <w:rsid w:val="00C31477"/>
    <w:rsid w:val="00CE2F0A"/>
    <w:rsid w:val="00D126D6"/>
    <w:rsid w:val="00D50DDB"/>
    <w:rsid w:val="00EE4A31"/>
    <w:rsid w:val="00F0253C"/>
    <w:rsid w:val="00FD6878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Rockland Trust Company</Company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</dc:creator>
  <cp:lastModifiedBy>Xiang Li</cp:lastModifiedBy>
  <cp:revision>4</cp:revision>
  <dcterms:created xsi:type="dcterms:W3CDTF">2016-08-02T19:37:00Z</dcterms:created>
  <dcterms:modified xsi:type="dcterms:W3CDTF">2016-08-09T15:44:00Z</dcterms:modified>
</cp:coreProperties>
</file>