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大语言模型横向对比报告</w:t>
      </w:r>
    </w:p>
    <w:p>
      <w:pPr>
        <w:spacing w:after="200"/>
      </w:pPr>
      <w:r>
        <w:rPr>
          <w:color w:val="4B697D"/>
          <w:sz w:val="24"/>
        </w:rPr>
        <w:t>截至 2026 年 10 月 19 日｜主流通用模型的能力、成本与适用场景</w:t>
      </w:r>
    </w:p>
    <w:p>
      <w:r>
        <w:t>结论先行：当前没有一个模型能在所有任务上稳定胜出。前沿闭源模型在复杂推理、工具调用和长程任务上处于第一梯队；开权重模型在部署自主权、成本和定制上更有吸引力。若只能先测三类，建议用 GPT-6 Astra / Claude Fable 5.1 / Gemini 4 Argon 做前沿能力对照，再用 DeepSeek V4、GLM-5.3、Qwen3.8 与 Mistral Large 4 评估私有化和成本。最终选型应以本组织真实任务集、延迟和总成本验证。</w:t>
      </w:r>
    </w:p>
    <w:p>
      <w:pPr>
        <w:pStyle w:val="Heading1"/>
      </w:pPr>
      <w:r>
        <w:t>范围与读数方法</w:t>
      </w:r>
    </w:p>
    <w:p>
      <w:r>
        <w:t>本报告覆盖截至检索日主要厂商公开提供或公开预览的代表性通用语言模型系列，兼顾闭源 API 与开权重模型。市场型号数量远超本报告篇幅，且型号、别名、推理档位和地区可用性持续变化，因此“所有”按主要厂商代表系列理解，不声称穷尽每个微调版、量化版或区域部署版。</w:t>
      </w:r>
    </w:p>
    <w:p>
      <w:r>
        <w:t>数据按三类呈现：Artificial Analysis Intelligence Index 用统一评测组观察综合智能、成本和速度；LMArena 反映盲测人类偏好；厂商模型卡和技术博客用于确认版本、能力定位与开放状态。不同基准测量目标、提示词、工具权限、推理预算均不相同，分数不能跨基准直接相减。榜单实时更新，本文记录的是检索当日可见快照。</w:t>
      </w:r>
    </w:p>
    <w:p>
      <w:r>
        <w:t>重要限制：厂商公布的单项成绩通常由厂商自行运行，适合识别其宣称优势，不能替代独立复测。Arena Elo 也受投票样本、模型变体和偏好影响，不等同于事实准确率或企业任务成功率。</w:t>
      </w:r>
    </w:p>
    <w:p>
      <w:pPr>
        <w:pStyle w:val="Heading1"/>
      </w:pPr>
      <w:r>
        <w:t>统计快照：能力前沿与成本差异</w:t>
      </w:r>
    </w:p>
    <w:p>
      <w:r>
        <w:t>Artificial Analysis 榜单收录 250 多个模型，综合了智能、每任务成本、速度、首 token 延迟、上下文和开放权重等指标。检索页面中，Claude Fable 5.1 与 GPT-6 Astra 的高推理档位均显示 Intelligence Index 53；高档配置每项评测任务估算成本约为 5.98–7.63 美元（Fable）和 2.31–3.26 美元（Astra）。这些是特定统一评测套件的任务成本，不是单次聊天报价。</w:t>
      </w:r>
    </w:p>
    <w:tbl>
      <w:tblPr>
        <w:tblStyle w:val="TableGrid"/>
        <w:tblW w:type="auto" w:w="0"/>
        <w:jc w:val="center"/>
        <w:tblLayout w:type="fixed"/>
        <w:tblLook w:firstColumn="1" w:firstRow="1" w:lastColumn="0" w:lastRow="0" w:noHBand="0" w:noVBand="1" w:val="04A0"/>
      </w:tblPr>
      <w:tblGrid>
        <w:gridCol w:w="3331"/>
        <w:gridCol w:w="3331"/>
        <w:gridCol w:w="3331"/>
      </w:tblGrid>
      <w:tr>
        <w:tc>
          <w:tcPr>
            <w:tcW w:type="dxa" w:w="1728"/>
            <w:vAlign w:val="center"/>
            <w:shd w:fill="164E72"/>
          </w:tcPr>
          <w:p>
            <w:pPr>
              <w:spacing w:after="20" w:before="20"/>
            </w:pPr>
            <w:r/>
            <w:r>
              <w:rPr>
                <w:rFonts w:ascii="Aptos" w:hAnsi="Aptos" w:eastAsia="Microsoft YaHei"/>
                <w:b/>
                <w:color w:val="FFFFFF"/>
                <w:sz w:val="15"/>
              </w:rPr>
              <w:t>对比维度</w:t>
            </w:r>
          </w:p>
        </w:tc>
        <w:tc>
          <w:tcPr>
            <w:tcW w:type="dxa" w:w="4320"/>
            <w:vAlign w:val="center"/>
            <w:shd w:fill="164E72"/>
          </w:tcPr>
          <w:p>
            <w:pPr>
              <w:spacing w:after="20" w:before="20"/>
            </w:pPr>
            <w:r/>
            <w:r>
              <w:rPr>
                <w:rFonts w:ascii="Aptos" w:hAnsi="Aptos" w:eastAsia="Microsoft YaHei"/>
                <w:b/>
                <w:color w:val="FFFFFF"/>
                <w:sz w:val="15"/>
              </w:rPr>
              <w:t>公开快照/观察</w:t>
            </w:r>
          </w:p>
        </w:tc>
        <w:tc>
          <w:tcPr>
            <w:tcW w:type="dxa" w:w="3888"/>
            <w:vAlign w:val="center"/>
            <w:shd w:fill="164E72"/>
          </w:tcPr>
          <w:p>
            <w:pPr>
              <w:spacing w:after="20" w:before="20"/>
            </w:pPr>
            <w:r/>
            <w:r>
              <w:rPr>
                <w:rFonts w:ascii="Aptos" w:hAnsi="Aptos" w:eastAsia="Microsoft YaHei"/>
                <w:b/>
                <w:color w:val="FFFFFF"/>
                <w:sz w:val="15"/>
              </w:rPr>
              <w:t>如何解读</w:t>
            </w:r>
          </w:p>
        </w:tc>
      </w:tr>
      <w:tr>
        <w:tc>
          <w:tcPr>
            <w:tcW w:type="dxa" w:w="1728"/>
            <w:vAlign w:val="center"/>
          </w:tcPr>
          <w:p>
            <w:pPr>
              <w:spacing w:after="20" w:before="20"/>
            </w:pPr>
            <w:r/>
            <w:r>
              <w:rPr>
                <w:rFonts w:ascii="Aptos" w:hAnsi="Aptos" w:eastAsia="Microsoft YaHei"/>
                <w:b w:val="0"/>
                <w:sz w:val="15"/>
              </w:rPr>
              <w:t>综合智能</w:t>
            </w:r>
          </w:p>
        </w:tc>
        <w:tc>
          <w:tcPr>
            <w:tcW w:type="dxa" w:w="4320"/>
            <w:vAlign w:val="center"/>
          </w:tcPr>
          <w:p>
            <w:pPr>
              <w:spacing w:after="20" w:before="20"/>
            </w:pPr>
            <w:r/>
            <w:r>
              <w:rPr>
                <w:rFonts w:ascii="Aptos" w:hAnsi="Aptos" w:eastAsia="Microsoft YaHei"/>
                <w:b w:val="0"/>
                <w:sz w:val="15"/>
              </w:rPr>
              <w:t>Claude Fable 5.1、GPT-6 Astra 高推理档位：Index 53；Gemini 4 Argon 的高档比较页也显示 53</w:t>
            </w:r>
          </w:p>
        </w:tc>
        <w:tc>
          <w:tcPr>
            <w:tcW w:type="dxa" w:w="3888"/>
            <w:vAlign w:val="center"/>
          </w:tcPr>
          <w:p>
            <w:pPr>
              <w:spacing w:after="20" w:before="20"/>
            </w:pPr>
            <w:r/>
            <w:r>
              <w:rPr>
                <w:rFonts w:ascii="Aptos" w:hAnsi="Aptos" w:eastAsia="Microsoft YaHei"/>
                <w:b w:val="0"/>
                <w:sz w:val="15"/>
              </w:rPr>
              <w:t>头部接近；版本档位和 fallback 会影响分数，不能只看一个整数。</w:t>
            </w:r>
          </w:p>
        </w:tc>
      </w:tr>
      <w:tr>
        <w:tc>
          <w:tcPr>
            <w:tcW w:type="dxa" w:w="1728"/>
            <w:vAlign w:val="center"/>
            <w:shd w:fill="EEF4F7"/>
          </w:tcPr>
          <w:p>
            <w:pPr>
              <w:spacing w:after="20" w:before="20"/>
            </w:pPr>
            <w:r/>
            <w:r>
              <w:rPr>
                <w:rFonts w:ascii="Aptos" w:hAnsi="Aptos" w:eastAsia="Microsoft YaHei"/>
                <w:b w:val="0"/>
                <w:sz w:val="15"/>
              </w:rPr>
              <w:t>成本效率</w:t>
            </w:r>
          </w:p>
        </w:tc>
        <w:tc>
          <w:tcPr>
            <w:tcW w:type="dxa" w:w="4320"/>
            <w:vAlign w:val="center"/>
            <w:shd w:fill="EEF4F7"/>
          </w:tcPr>
          <w:p>
            <w:pPr>
              <w:spacing w:after="20" w:before="20"/>
            </w:pPr>
            <w:r/>
            <w:r>
              <w:rPr>
                <w:rFonts w:ascii="Aptos" w:hAnsi="Aptos" w:eastAsia="Microsoft YaHei"/>
                <w:b w:val="0"/>
                <w:sz w:val="15"/>
              </w:rPr>
              <w:t>同一评测中 GPT-6 Astra 高档约 $2.31–$3.26/任务；Fable 5.1 约 $5.98–$7.63/任务</w:t>
            </w:r>
          </w:p>
        </w:tc>
        <w:tc>
          <w:tcPr>
            <w:tcW w:type="dxa" w:w="3888"/>
            <w:vAlign w:val="center"/>
            <w:shd w:fill="EEF4F7"/>
          </w:tcPr>
          <w:p>
            <w:pPr>
              <w:spacing w:after="20" w:before="20"/>
            </w:pPr>
            <w:r/>
            <w:r>
              <w:rPr>
                <w:rFonts w:ascii="Aptos" w:hAnsi="Aptos" w:eastAsia="Microsoft YaHei"/>
                <w:b w:val="0"/>
                <w:sz w:val="15"/>
              </w:rPr>
              <w:t>Astra 在该套件下成本更低；真实工作流需按输入长度、缓存、工具调用另算。</w:t>
            </w:r>
          </w:p>
        </w:tc>
      </w:tr>
      <w:tr>
        <w:tc>
          <w:tcPr>
            <w:tcW w:type="dxa" w:w="1728"/>
            <w:vAlign w:val="center"/>
          </w:tcPr>
          <w:p>
            <w:pPr>
              <w:spacing w:after="20" w:before="20"/>
            </w:pPr>
            <w:r/>
            <w:r>
              <w:rPr>
                <w:rFonts w:ascii="Aptos" w:hAnsi="Aptos" w:eastAsia="Microsoft YaHei"/>
                <w:b w:val="0"/>
                <w:sz w:val="15"/>
              </w:rPr>
              <w:t>速度与延迟</w:t>
            </w:r>
          </w:p>
        </w:tc>
        <w:tc>
          <w:tcPr>
            <w:tcW w:type="dxa" w:w="4320"/>
            <w:vAlign w:val="center"/>
          </w:tcPr>
          <w:p>
            <w:pPr>
              <w:spacing w:after="20" w:before="20"/>
            </w:pPr>
            <w:r/>
            <w:r>
              <w:rPr>
                <w:rFonts w:ascii="Aptos" w:hAnsi="Aptos" w:eastAsia="Microsoft YaHei"/>
                <w:b w:val="0"/>
                <w:sz w:val="15"/>
              </w:rPr>
              <w:t>榜单里高速小模型可超过 200 tokens/s；大型推理模型速度差异显著</w:t>
            </w:r>
          </w:p>
        </w:tc>
        <w:tc>
          <w:tcPr>
            <w:tcW w:type="dxa" w:w="3888"/>
            <w:vAlign w:val="center"/>
          </w:tcPr>
          <w:p>
            <w:pPr>
              <w:spacing w:after="20" w:before="20"/>
            </w:pPr>
            <w:r/>
            <w:r>
              <w:rPr>
                <w:rFonts w:ascii="Aptos" w:hAnsi="Aptos" w:eastAsia="Microsoft YaHei"/>
                <w:b w:val="0"/>
                <w:sz w:val="15"/>
              </w:rPr>
              <w:t>吞吐不是端到端体验；首 token 等待、思考时间、工具执行时间都需测。</w:t>
            </w:r>
          </w:p>
        </w:tc>
      </w:tr>
      <w:tr>
        <w:tc>
          <w:tcPr>
            <w:tcW w:type="dxa" w:w="1728"/>
            <w:vAlign w:val="center"/>
            <w:shd w:fill="EEF4F7"/>
          </w:tcPr>
          <w:p>
            <w:pPr>
              <w:spacing w:after="20" w:before="20"/>
            </w:pPr>
            <w:r/>
            <w:r>
              <w:rPr>
                <w:rFonts w:ascii="Aptos" w:hAnsi="Aptos" w:eastAsia="Microsoft YaHei"/>
                <w:b w:val="0"/>
                <w:sz w:val="15"/>
              </w:rPr>
              <w:t>开权重前沿</w:t>
            </w:r>
          </w:p>
        </w:tc>
        <w:tc>
          <w:tcPr>
            <w:tcW w:type="dxa" w:w="4320"/>
            <w:vAlign w:val="center"/>
            <w:shd w:fill="EEF4F7"/>
          </w:tcPr>
          <w:p>
            <w:pPr>
              <w:spacing w:after="20" w:before="20"/>
            </w:pPr>
            <w:r/>
            <w:r>
              <w:rPr>
                <w:rFonts w:ascii="Aptos" w:hAnsi="Aptos" w:eastAsia="Microsoft YaHei"/>
                <w:b w:val="0"/>
                <w:sz w:val="15"/>
              </w:rPr>
              <w:t>AA 页面列出 GLM-5.3、DeepSeek V4 Pro、Qwen3.8 等；开权重型号分数与价格跨度大</w:t>
            </w:r>
          </w:p>
        </w:tc>
        <w:tc>
          <w:tcPr>
            <w:tcW w:type="dxa" w:w="3888"/>
            <w:vAlign w:val="center"/>
            <w:shd w:fill="EEF4F7"/>
          </w:tcPr>
          <w:p>
            <w:pPr>
              <w:spacing w:after="20" w:before="20"/>
            </w:pPr>
            <w:r/>
            <w:r>
              <w:rPr>
                <w:rFonts w:ascii="Aptos" w:hAnsi="Aptos" w:eastAsia="Microsoft YaHei"/>
                <w:b w:val="0"/>
                <w:sz w:val="15"/>
              </w:rPr>
              <w:t>权重可用不代表许可证无条件开放，也不意味着部署总成本低。</w:t>
            </w:r>
          </w:p>
        </w:tc>
      </w:tr>
      <w:tr>
        <w:tc>
          <w:tcPr>
            <w:tcW w:type="dxa" w:w="1728"/>
            <w:vAlign w:val="center"/>
          </w:tcPr>
          <w:p>
            <w:pPr>
              <w:spacing w:after="20" w:before="20"/>
            </w:pPr>
            <w:r/>
            <w:r>
              <w:rPr>
                <w:rFonts w:ascii="Aptos" w:hAnsi="Aptos" w:eastAsia="Microsoft YaHei"/>
                <w:b w:val="0"/>
                <w:sz w:val="15"/>
              </w:rPr>
              <w:t>人类偏好</w:t>
            </w:r>
          </w:p>
        </w:tc>
        <w:tc>
          <w:tcPr>
            <w:tcW w:type="dxa" w:w="4320"/>
            <w:vAlign w:val="center"/>
          </w:tcPr>
          <w:p>
            <w:pPr>
              <w:spacing w:after="20" w:before="20"/>
            </w:pPr>
            <w:r/>
            <w:r>
              <w:rPr>
                <w:rFonts w:ascii="Aptos" w:hAnsi="Aptos" w:eastAsia="Microsoft YaHei"/>
                <w:b w:val="0"/>
                <w:sz w:val="15"/>
              </w:rPr>
              <w:t>Arena 盲测适合观察回答偏好与风格</w:t>
            </w:r>
          </w:p>
        </w:tc>
        <w:tc>
          <w:tcPr>
            <w:tcW w:type="dxa" w:w="3888"/>
            <w:vAlign w:val="center"/>
          </w:tcPr>
          <w:p>
            <w:pPr>
              <w:spacing w:after="20" w:before="20"/>
            </w:pPr>
            <w:r/>
            <w:r>
              <w:rPr>
                <w:rFonts w:ascii="Aptos" w:hAnsi="Aptos" w:eastAsia="Microsoft YaHei"/>
                <w:b w:val="0"/>
                <w:sz w:val="15"/>
              </w:rPr>
              <w:t>偏好高不等于专业事实正确、编码通过率或安全性更优。</w:t>
            </w:r>
          </w:p>
        </w:tc>
      </w:tr>
    </w:tbl>
    <w:p>
      <w:pPr>
        <w:spacing w:after="0"/>
      </w:pPr>
    </w:p>
    <w:p>
      <w:pPr>
        <w:pStyle w:val="Heading1"/>
      </w:pPr>
      <w:r>
        <w:t>主要模型系列横向比较</w:t>
      </w:r>
    </w:p>
    <w:tbl>
      <w:tblPr>
        <w:tblStyle w:val="TableGrid"/>
        <w:tblW w:type="auto" w:w="0"/>
        <w:jc w:val="center"/>
        <w:tblLayout w:type="fixed"/>
        <w:tblLook w:firstColumn="1" w:firstRow="1" w:lastColumn="0" w:lastRow="0" w:noHBand="0" w:noVBand="1" w:val="04A0"/>
      </w:tblPr>
      <w:tblGrid>
        <w:gridCol w:w="1999"/>
        <w:gridCol w:w="1999"/>
        <w:gridCol w:w="1999"/>
        <w:gridCol w:w="1999"/>
        <w:gridCol w:w="1999"/>
      </w:tblGrid>
      <w:tr>
        <w:tc>
          <w:tcPr>
            <w:tcW w:type="dxa" w:w="1296"/>
            <w:vAlign w:val="center"/>
            <w:shd w:fill="164E72"/>
          </w:tcPr>
          <w:p>
            <w:pPr>
              <w:spacing w:after="20" w:before="20"/>
            </w:pPr>
            <w:r/>
            <w:r>
              <w:rPr>
                <w:rFonts w:ascii="Aptos" w:hAnsi="Aptos" w:eastAsia="Microsoft YaHei"/>
                <w:b/>
                <w:color w:val="FFFFFF"/>
                <w:sz w:val="14"/>
              </w:rPr>
              <w:t>厂商/系列</w:t>
            </w:r>
          </w:p>
        </w:tc>
        <w:tc>
          <w:tcPr>
            <w:tcW w:type="dxa" w:w="2088"/>
            <w:vAlign w:val="center"/>
            <w:shd w:fill="164E72"/>
          </w:tcPr>
          <w:p>
            <w:pPr>
              <w:spacing w:after="20" w:before="20"/>
            </w:pPr>
            <w:r/>
            <w:r>
              <w:rPr>
                <w:rFonts w:ascii="Aptos" w:hAnsi="Aptos" w:eastAsia="Microsoft YaHei"/>
                <w:b/>
                <w:color w:val="FFFFFF"/>
                <w:sz w:val="14"/>
              </w:rPr>
              <w:t>截至检索日代表版本</w:t>
            </w:r>
          </w:p>
        </w:tc>
        <w:tc>
          <w:tcPr>
            <w:tcW w:type="dxa" w:w="1512"/>
            <w:vAlign w:val="center"/>
            <w:shd w:fill="164E72"/>
          </w:tcPr>
          <w:p>
            <w:pPr>
              <w:spacing w:after="20" w:before="20"/>
            </w:pPr>
            <w:r/>
            <w:r>
              <w:rPr>
                <w:rFonts w:ascii="Aptos" w:hAnsi="Aptos" w:eastAsia="Microsoft YaHei"/>
                <w:b/>
                <w:color w:val="FFFFFF"/>
                <w:sz w:val="14"/>
              </w:rPr>
              <w:t>权重状态</w:t>
            </w:r>
          </w:p>
        </w:tc>
        <w:tc>
          <w:tcPr>
            <w:tcW w:type="dxa" w:w="2880"/>
            <w:vAlign w:val="center"/>
            <w:shd w:fill="164E72"/>
          </w:tcPr>
          <w:p>
            <w:pPr>
              <w:spacing w:after="20" w:before="20"/>
            </w:pPr>
            <w:r/>
            <w:r>
              <w:rPr>
                <w:rFonts w:ascii="Aptos" w:hAnsi="Aptos" w:eastAsia="Microsoft YaHei"/>
                <w:b/>
                <w:color w:val="FFFFFF"/>
                <w:sz w:val="14"/>
              </w:rPr>
              <w:t>优势</w:t>
            </w:r>
          </w:p>
        </w:tc>
        <w:tc>
          <w:tcPr>
            <w:tcW w:type="dxa" w:w="3024"/>
            <w:vAlign w:val="center"/>
            <w:shd w:fill="164E72"/>
          </w:tcPr>
          <w:p>
            <w:pPr>
              <w:spacing w:after="20" w:before="20"/>
            </w:pPr>
            <w:r/>
            <w:r>
              <w:rPr>
                <w:rFonts w:ascii="Aptos" w:hAnsi="Aptos" w:eastAsia="Microsoft YaHei"/>
                <w:b/>
                <w:color w:val="FFFFFF"/>
                <w:sz w:val="14"/>
              </w:rPr>
              <w:t>主要短板与注意事项</w:t>
            </w:r>
          </w:p>
        </w:tc>
      </w:tr>
      <w:tr>
        <w:tc>
          <w:tcPr>
            <w:tcW w:type="dxa" w:w="1296"/>
            <w:vAlign w:val="center"/>
          </w:tcPr>
          <w:p>
            <w:pPr>
              <w:spacing w:after="20" w:before="20"/>
            </w:pPr>
            <w:r/>
            <w:r>
              <w:rPr>
                <w:rFonts w:ascii="Aptos" w:hAnsi="Aptos" w:eastAsia="Microsoft YaHei"/>
                <w:b w:val="0"/>
                <w:sz w:val="14"/>
              </w:rPr>
              <w:t>OpenAI</w:t>
            </w:r>
          </w:p>
        </w:tc>
        <w:tc>
          <w:tcPr>
            <w:tcW w:type="dxa" w:w="2088"/>
            <w:vAlign w:val="center"/>
          </w:tcPr>
          <w:p>
            <w:pPr>
              <w:spacing w:after="20" w:before="20"/>
            </w:pPr>
            <w:r/>
            <w:r>
              <w:rPr>
                <w:rFonts w:ascii="Aptos" w:hAnsi="Aptos" w:eastAsia="Microsoft YaHei"/>
                <w:b w:val="0"/>
                <w:sz w:val="14"/>
              </w:rPr>
              <w:t>GPT-6 Astra；GPT-6 Sol / Luna</w:t>
            </w:r>
          </w:p>
        </w:tc>
        <w:tc>
          <w:tcPr>
            <w:tcW w:type="dxa" w:w="1512"/>
            <w:vAlign w:val="center"/>
          </w:tcPr>
          <w:p>
            <w:pPr>
              <w:spacing w:after="20" w:before="20"/>
            </w:pPr>
            <w:r/>
            <w:r>
              <w:rPr>
                <w:rFonts w:ascii="Aptos" w:hAnsi="Aptos" w:eastAsia="Microsoft YaHei"/>
                <w:b w:val="0"/>
                <w:sz w:val="14"/>
              </w:rPr>
              <w:t>闭源</w:t>
            </w:r>
          </w:p>
        </w:tc>
        <w:tc>
          <w:tcPr>
            <w:tcW w:type="dxa" w:w="2880"/>
            <w:vAlign w:val="center"/>
          </w:tcPr>
          <w:p>
            <w:pPr>
              <w:spacing w:after="20" w:before="20"/>
            </w:pPr>
            <w:r/>
            <w:r>
              <w:rPr>
                <w:rFonts w:ascii="Aptos" w:hAnsi="Aptos" w:eastAsia="Microsoft YaHei"/>
                <w:b w:val="0"/>
                <w:sz w:val="14"/>
              </w:rPr>
              <w:t>综合能力、专业工作、电脑/浏览器使用与复杂代理任务；API 与产品生态成熟。</w:t>
            </w:r>
          </w:p>
        </w:tc>
        <w:tc>
          <w:tcPr>
            <w:tcW w:type="dxa" w:w="3024"/>
            <w:vAlign w:val="center"/>
          </w:tcPr>
          <w:p>
            <w:pPr>
              <w:spacing w:after="20" w:before="20"/>
            </w:pPr>
            <w:r/>
            <w:r>
              <w:rPr>
                <w:rFonts w:ascii="Aptos" w:hAnsi="Aptos" w:eastAsia="Microsoft YaHei"/>
                <w:b w:val="0"/>
                <w:sz w:val="14"/>
              </w:rPr>
              <w:t>旗舰成本与延迟较高；高风险能力要求严密权限、审计和提示注入防护。</w:t>
            </w:r>
          </w:p>
        </w:tc>
      </w:tr>
      <w:tr>
        <w:tc>
          <w:tcPr>
            <w:tcW w:type="dxa" w:w="1296"/>
            <w:vAlign w:val="center"/>
            <w:shd w:fill="EEF4F7"/>
          </w:tcPr>
          <w:p>
            <w:pPr>
              <w:spacing w:after="20" w:before="20"/>
            </w:pPr>
            <w:r/>
            <w:r>
              <w:rPr>
                <w:rFonts w:ascii="Aptos" w:hAnsi="Aptos" w:eastAsia="Microsoft YaHei"/>
                <w:b w:val="0"/>
                <w:sz w:val="14"/>
              </w:rPr>
              <w:t>Anthropic</w:t>
            </w:r>
          </w:p>
        </w:tc>
        <w:tc>
          <w:tcPr>
            <w:tcW w:type="dxa" w:w="2088"/>
            <w:vAlign w:val="center"/>
            <w:shd w:fill="EEF4F7"/>
          </w:tcPr>
          <w:p>
            <w:pPr>
              <w:spacing w:after="20" w:before="20"/>
            </w:pPr>
            <w:r/>
            <w:r>
              <w:rPr>
                <w:rFonts w:ascii="Aptos" w:hAnsi="Aptos" w:eastAsia="Microsoft YaHei"/>
                <w:b w:val="0"/>
                <w:sz w:val="14"/>
              </w:rPr>
              <w:t>Claude Fable 5.1；Opus 5</w:t>
            </w:r>
          </w:p>
        </w:tc>
        <w:tc>
          <w:tcPr>
            <w:tcW w:type="dxa" w:w="1512"/>
            <w:vAlign w:val="center"/>
            <w:shd w:fill="EEF4F7"/>
          </w:tcPr>
          <w:p>
            <w:pPr>
              <w:spacing w:after="20" w:before="20"/>
            </w:pPr>
            <w:r/>
            <w:r>
              <w:rPr>
                <w:rFonts w:ascii="Aptos" w:hAnsi="Aptos" w:eastAsia="Microsoft YaHei"/>
                <w:b w:val="0"/>
                <w:sz w:val="14"/>
              </w:rPr>
              <w:t>闭源</w:t>
            </w:r>
          </w:p>
        </w:tc>
        <w:tc>
          <w:tcPr>
            <w:tcW w:type="dxa" w:w="2880"/>
            <w:vAlign w:val="center"/>
            <w:shd w:fill="EEF4F7"/>
          </w:tcPr>
          <w:p>
            <w:pPr>
              <w:spacing w:after="20" w:before="20"/>
            </w:pPr>
            <w:r/>
            <w:r>
              <w:rPr>
                <w:rFonts w:ascii="Aptos" w:hAnsi="Aptos" w:eastAsia="Microsoft YaHei"/>
                <w:b w:val="0"/>
                <w:sz w:val="14"/>
              </w:rPr>
              <w:t>复杂编码、知识工作、长时代理和文档/图表理解；适合多步骤交付。</w:t>
            </w:r>
          </w:p>
        </w:tc>
        <w:tc>
          <w:tcPr>
            <w:tcW w:type="dxa" w:w="3024"/>
            <w:vAlign w:val="center"/>
            <w:shd w:fill="EEF4F7"/>
          </w:tcPr>
          <w:p>
            <w:pPr>
              <w:spacing w:after="20" w:before="20"/>
            </w:pPr>
            <w:r/>
            <w:r>
              <w:rPr>
                <w:rFonts w:ascii="Aptos" w:hAnsi="Aptos" w:eastAsia="Microsoft YaHei"/>
                <w:b w:val="0"/>
                <w:sz w:val="14"/>
              </w:rPr>
              <w:t>Fable 5.1 高档 API 价格较高；长任务仍需检查边界遵循、工具访问和结果验证。</w:t>
            </w:r>
          </w:p>
        </w:tc>
      </w:tr>
      <w:tr>
        <w:tc>
          <w:tcPr>
            <w:tcW w:type="dxa" w:w="1296"/>
            <w:vAlign w:val="center"/>
          </w:tcPr>
          <w:p>
            <w:pPr>
              <w:spacing w:after="20" w:before="20"/>
            </w:pPr>
            <w:r/>
            <w:r>
              <w:rPr>
                <w:rFonts w:ascii="Aptos" w:hAnsi="Aptos" w:eastAsia="Microsoft YaHei"/>
                <w:b w:val="0"/>
                <w:sz w:val="14"/>
              </w:rPr>
              <w:t>Google</w:t>
            </w:r>
          </w:p>
        </w:tc>
        <w:tc>
          <w:tcPr>
            <w:tcW w:type="dxa" w:w="2088"/>
            <w:vAlign w:val="center"/>
          </w:tcPr>
          <w:p>
            <w:pPr>
              <w:spacing w:after="20" w:before="20"/>
            </w:pPr>
            <w:r/>
            <w:r>
              <w:rPr>
                <w:rFonts w:ascii="Aptos" w:hAnsi="Aptos" w:eastAsia="Microsoft YaHei"/>
                <w:b w:val="0"/>
                <w:sz w:val="14"/>
              </w:rPr>
              <w:t>Gemini 4 Argon；Gemini 3.8 Flash</w:t>
            </w:r>
          </w:p>
        </w:tc>
        <w:tc>
          <w:tcPr>
            <w:tcW w:type="dxa" w:w="1512"/>
            <w:vAlign w:val="center"/>
          </w:tcPr>
          <w:p>
            <w:pPr>
              <w:spacing w:after="20" w:before="20"/>
            </w:pPr>
            <w:r/>
            <w:r>
              <w:rPr>
                <w:rFonts w:ascii="Aptos" w:hAnsi="Aptos" w:eastAsia="Microsoft YaHei"/>
                <w:b w:val="0"/>
                <w:sz w:val="14"/>
              </w:rPr>
              <w:t>闭源</w:t>
            </w:r>
          </w:p>
        </w:tc>
        <w:tc>
          <w:tcPr>
            <w:tcW w:type="dxa" w:w="2880"/>
            <w:vAlign w:val="center"/>
          </w:tcPr>
          <w:p>
            <w:pPr>
              <w:spacing w:after="20" w:before="20"/>
            </w:pPr>
            <w:r/>
            <w:r>
              <w:rPr>
                <w:rFonts w:ascii="Aptos" w:hAnsi="Aptos" w:eastAsia="Microsoft YaHei"/>
                <w:b w:val="0"/>
                <w:sz w:val="14"/>
              </w:rPr>
              <w:t>多模态、长上下文、Google 服务与快速推理型号组合；Argon 面向高难任务。</w:t>
            </w:r>
          </w:p>
        </w:tc>
        <w:tc>
          <w:tcPr>
            <w:tcW w:type="dxa" w:w="3024"/>
            <w:vAlign w:val="center"/>
          </w:tcPr>
          <w:p>
            <w:pPr>
              <w:spacing w:after="20" w:before="20"/>
            </w:pPr>
            <w:r/>
            <w:r>
              <w:rPr>
                <w:rFonts w:ascii="Aptos" w:hAnsi="Aptos" w:eastAsia="Microsoft YaHei"/>
                <w:b w:val="0"/>
                <w:sz w:val="14"/>
              </w:rPr>
              <w:t>型号多且更新快，服务间可用档位不同；基准与实际产品体验需区分。</w:t>
            </w:r>
          </w:p>
        </w:tc>
      </w:tr>
      <w:tr>
        <w:tc>
          <w:tcPr>
            <w:tcW w:type="dxa" w:w="1296"/>
            <w:vAlign w:val="center"/>
            <w:shd w:fill="EEF4F7"/>
          </w:tcPr>
          <w:p>
            <w:pPr>
              <w:spacing w:after="20" w:before="20"/>
            </w:pPr>
            <w:r/>
            <w:r>
              <w:rPr>
                <w:rFonts w:ascii="Aptos" w:hAnsi="Aptos" w:eastAsia="Microsoft YaHei"/>
                <w:b w:val="0"/>
                <w:sz w:val="14"/>
              </w:rPr>
              <w:t>xAI</w:t>
            </w:r>
          </w:p>
        </w:tc>
        <w:tc>
          <w:tcPr>
            <w:tcW w:type="dxa" w:w="2088"/>
            <w:vAlign w:val="center"/>
            <w:shd w:fill="EEF4F7"/>
          </w:tcPr>
          <w:p>
            <w:pPr>
              <w:spacing w:after="20" w:before="20"/>
            </w:pPr>
            <w:r/>
            <w:r>
              <w:rPr>
                <w:rFonts w:ascii="Aptos" w:hAnsi="Aptos" w:eastAsia="Microsoft YaHei"/>
                <w:b w:val="0"/>
                <w:sz w:val="14"/>
              </w:rPr>
              <w:t>Grok 4.20 系列</w:t>
            </w:r>
          </w:p>
        </w:tc>
        <w:tc>
          <w:tcPr>
            <w:tcW w:type="dxa" w:w="1512"/>
            <w:vAlign w:val="center"/>
            <w:shd w:fill="EEF4F7"/>
          </w:tcPr>
          <w:p>
            <w:pPr>
              <w:spacing w:after="20" w:before="20"/>
            </w:pPr>
            <w:r/>
            <w:r>
              <w:rPr>
                <w:rFonts w:ascii="Aptos" w:hAnsi="Aptos" w:eastAsia="Microsoft YaHei"/>
                <w:b w:val="0"/>
                <w:sz w:val="14"/>
              </w:rPr>
              <w:t>闭源</w:t>
            </w:r>
          </w:p>
        </w:tc>
        <w:tc>
          <w:tcPr>
            <w:tcW w:type="dxa" w:w="2880"/>
            <w:vAlign w:val="center"/>
            <w:shd w:fill="EEF4F7"/>
          </w:tcPr>
          <w:p>
            <w:pPr>
              <w:spacing w:after="20" w:before="20"/>
            </w:pPr>
            <w:r/>
            <w:r>
              <w:rPr>
                <w:rFonts w:ascii="Aptos" w:hAnsi="Aptos" w:eastAsia="Microsoft YaHei"/>
                <w:b w:val="0"/>
                <w:sz w:val="14"/>
              </w:rPr>
              <w:t>与实时信息和 X 生态连接；提供大上下文与不同速度/能力档位。</w:t>
            </w:r>
          </w:p>
        </w:tc>
        <w:tc>
          <w:tcPr>
            <w:tcW w:type="dxa" w:w="3024"/>
            <w:vAlign w:val="center"/>
            <w:shd w:fill="EEF4F7"/>
          </w:tcPr>
          <w:p>
            <w:pPr>
              <w:spacing w:after="20" w:before="20"/>
            </w:pPr>
            <w:r/>
            <w:r>
              <w:rPr>
                <w:rFonts w:ascii="Aptos" w:hAnsi="Aptos" w:eastAsia="Microsoft YaHei"/>
                <w:b w:val="0"/>
                <w:sz w:val="14"/>
              </w:rPr>
              <w:t>实时社交信息有噪声；独立可比的公开测评覆盖相对不均，需在自身场景核验。</w:t>
            </w:r>
          </w:p>
        </w:tc>
      </w:tr>
      <w:tr>
        <w:tc>
          <w:tcPr>
            <w:tcW w:type="dxa" w:w="1296"/>
            <w:vAlign w:val="center"/>
          </w:tcPr>
          <w:p>
            <w:pPr>
              <w:spacing w:after="20" w:before="20"/>
            </w:pPr>
            <w:r/>
            <w:r>
              <w:rPr>
                <w:rFonts w:ascii="Aptos" w:hAnsi="Aptos" w:eastAsia="Microsoft YaHei"/>
                <w:b w:val="0"/>
                <w:sz w:val="14"/>
              </w:rPr>
              <w:t>DeepSeek</w:t>
            </w:r>
          </w:p>
        </w:tc>
        <w:tc>
          <w:tcPr>
            <w:tcW w:type="dxa" w:w="2088"/>
            <w:vAlign w:val="center"/>
          </w:tcPr>
          <w:p>
            <w:pPr>
              <w:spacing w:after="20" w:before="20"/>
            </w:pPr>
            <w:r/>
            <w:r>
              <w:rPr>
                <w:rFonts w:ascii="Aptos" w:hAnsi="Aptos" w:eastAsia="Microsoft YaHei"/>
                <w:b w:val="0"/>
                <w:sz w:val="14"/>
              </w:rPr>
              <w:t>DeepSeek V4 Pro / Flash；V4.1 Flash</w:t>
            </w:r>
          </w:p>
        </w:tc>
        <w:tc>
          <w:tcPr>
            <w:tcW w:type="dxa" w:w="1512"/>
            <w:vAlign w:val="center"/>
          </w:tcPr>
          <w:p>
            <w:pPr>
              <w:spacing w:after="20" w:before="20"/>
            </w:pPr>
            <w:r/>
            <w:r>
              <w:rPr>
                <w:rFonts w:ascii="Aptos" w:hAnsi="Aptos" w:eastAsia="Microsoft YaHei"/>
                <w:b w:val="0"/>
                <w:sz w:val="14"/>
              </w:rPr>
              <w:t>开权重及托管</w:t>
            </w:r>
          </w:p>
        </w:tc>
        <w:tc>
          <w:tcPr>
            <w:tcW w:type="dxa" w:w="2880"/>
            <w:vAlign w:val="center"/>
          </w:tcPr>
          <w:p>
            <w:pPr>
              <w:spacing w:after="20" w:before="20"/>
            </w:pPr>
            <w:r/>
            <w:r>
              <w:rPr>
                <w:rFonts w:ascii="Aptos" w:hAnsi="Aptos" w:eastAsia="Microsoft YaHei"/>
                <w:b w:val="0"/>
                <w:sz w:val="14"/>
              </w:rPr>
              <w:t>成本、吞吐和百万 token 上下文有吸引力；适合中文、批量推理和自托管评估。</w:t>
            </w:r>
          </w:p>
        </w:tc>
        <w:tc>
          <w:tcPr>
            <w:tcW w:type="dxa" w:w="3024"/>
            <w:vAlign w:val="center"/>
          </w:tcPr>
          <w:p>
            <w:pPr>
              <w:spacing w:after="20" w:before="20"/>
            </w:pPr>
            <w:r/>
            <w:r>
              <w:rPr>
                <w:rFonts w:ascii="Aptos" w:hAnsi="Aptos" w:eastAsia="Microsoft YaHei"/>
                <w:b w:val="0"/>
                <w:sz w:val="14"/>
              </w:rPr>
              <w:t>不同部署版本差异大；高难任务仍需与闭源旗舰逐项验证，部署需评估算力与运维。</w:t>
            </w:r>
          </w:p>
        </w:tc>
      </w:tr>
      <w:tr>
        <w:tc>
          <w:tcPr>
            <w:tcW w:type="dxa" w:w="1296"/>
            <w:vAlign w:val="center"/>
            <w:shd w:fill="EEF4F7"/>
          </w:tcPr>
          <w:p>
            <w:pPr>
              <w:spacing w:after="20" w:before="20"/>
            </w:pPr>
            <w:r/>
            <w:r>
              <w:rPr>
                <w:rFonts w:ascii="Aptos" w:hAnsi="Aptos" w:eastAsia="Microsoft YaHei"/>
                <w:b w:val="0"/>
                <w:sz w:val="14"/>
              </w:rPr>
              <w:t>Alibaba Qwen</w:t>
            </w:r>
          </w:p>
        </w:tc>
        <w:tc>
          <w:tcPr>
            <w:tcW w:type="dxa" w:w="2088"/>
            <w:vAlign w:val="center"/>
            <w:shd w:fill="EEF4F7"/>
          </w:tcPr>
          <w:p>
            <w:pPr>
              <w:spacing w:after="20" w:before="20"/>
            </w:pPr>
            <w:r/>
            <w:r>
              <w:rPr>
                <w:rFonts w:ascii="Aptos" w:hAnsi="Aptos" w:eastAsia="Microsoft YaHei"/>
                <w:b w:val="0"/>
                <w:sz w:val="14"/>
              </w:rPr>
              <w:t>Qwen3.8-Max；Qwen3.8 27B 等</w:t>
            </w:r>
          </w:p>
        </w:tc>
        <w:tc>
          <w:tcPr>
            <w:tcW w:type="dxa" w:w="1512"/>
            <w:vAlign w:val="center"/>
            <w:shd w:fill="EEF4F7"/>
          </w:tcPr>
          <w:p>
            <w:pPr>
              <w:spacing w:after="20" w:before="20"/>
            </w:pPr>
            <w:r/>
            <w:r>
              <w:rPr>
                <w:rFonts w:ascii="Aptos" w:hAnsi="Aptos" w:eastAsia="Microsoft YaHei"/>
                <w:b w:val="0"/>
                <w:sz w:val="14"/>
              </w:rPr>
              <w:t>托管及开权重</w:t>
            </w:r>
          </w:p>
        </w:tc>
        <w:tc>
          <w:tcPr>
            <w:tcW w:type="dxa" w:w="2880"/>
            <w:vAlign w:val="center"/>
            <w:shd w:fill="EEF4F7"/>
          </w:tcPr>
          <w:p>
            <w:pPr>
              <w:spacing w:after="20" w:before="20"/>
            </w:pPr>
            <w:r/>
            <w:r>
              <w:rPr>
                <w:rFonts w:ascii="Aptos" w:hAnsi="Aptos" w:eastAsia="Microsoft YaHei"/>
                <w:b w:val="0"/>
                <w:sz w:val="14"/>
              </w:rPr>
              <w:t>中文、多语、编码与代理任务覆盖广；小至大尺寸便于按算力选型。</w:t>
            </w:r>
          </w:p>
        </w:tc>
        <w:tc>
          <w:tcPr>
            <w:tcW w:type="dxa" w:w="3024"/>
            <w:vAlign w:val="center"/>
            <w:shd w:fill="EEF4F7"/>
          </w:tcPr>
          <w:p>
            <w:pPr>
              <w:spacing w:after="20" w:before="20"/>
            </w:pPr>
            <w:r/>
            <w:r>
              <w:rPr>
                <w:rFonts w:ascii="Aptos" w:hAnsi="Aptos" w:eastAsia="Microsoft YaHei"/>
                <w:b w:val="0"/>
                <w:sz w:val="14"/>
              </w:rPr>
              <w:t>版本分支、托管/API与权重许可需逐项确认；厂商基准自报存在选择性风险。</w:t>
            </w:r>
          </w:p>
        </w:tc>
      </w:tr>
      <w:tr>
        <w:tc>
          <w:tcPr>
            <w:tcW w:type="dxa" w:w="1296"/>
            <w:vAlign w:val="center"/>
          </w:tcPr>
          <w:p>
            <w:pPr>
              <w:spacing w:after="20" w:before="20"/>
            </w:pPr>
            <w:r/>
            <w:r>
              <w:rPr>
                <w:rFonts w:ascii="Aptos" w:hAnsi="Aptos" w:eastAsia="Microsoft YaHei"/>
                <w:b w:val="0"/>
                <w:sz w:val="14"/>
              </w:rPr>
              <w:t>Z.ai GLM</w:t>
            </w:r>
          </w:p>
        </w:tc>
        <w:tc>
          <w:tcPr>
            <w:tcW w:type="dxa" w:w="2088"/>
            <w:vAlign w:val="center"/>
          </w:tcPr>
          <w:p>
            <w:pPr>
              <w:spacing w:after="20" w:before="20"/>
            </w:pPr>
            <w:r/>
            <w:r>
              <w:rPr>
                <w:rFonts w:ascii="Aptos" w:hAnsi="Aptos" w:eastAsia="Microsoft YaHei"/>
                <w:b w:val="0"/>
                <w:sz w:val="14"/>
              </w:rPr>
              <w:t>GLM-5.3；GLM-5.3-Flash</w:t>
            </w:r>
          </w:p>
        </w:tc>
        <w:tc>
          <w:tcPr>
            <w:tcW w:type="dxa" w:w="1512"/>
            <w:vAlign w:val="center"/>
          </w:tcPr>
          <w:p>
            <w:pPr>
              <w:spacing w:after="20" w:before="20"/>
            </w:pPr>
            <w:r/>
            <w:r>
              <w:rPr>
                <w:rFonts w:ascii="Aptos" w:hAnsi="Aptos" w:eastAsia="Microsoft YaHei"/>
                <w:b w:val="0"/>
                <w:sz w:val="14"/>
              </w:rPr>
              <w:t>开权重及托管</w:t>
            </w:r>
          </w:p>
        </w:tc>
        <w:tc>
          <w:tcPr>
            <w:tcW w:type="dxa" w:w="2880"/>
            <w:vAlign w:val="center"/>
          </w:tcPr>
          <w:p>
            <w:pPr>
              <w:spacing w:after="20" w:before="20"/>
            </w:pPr>
            <w:r/>
            <w:r>
              <w:rPr>
                <w:rFonts w:ascii="Aptos" w:hAnsi="Aptos" w:eastAsia="Microsoft YaHei"/>
                <w:b w:val="0"/>
                <w:sz w:val="14"/>
              </w:rPr>
              <w:t>工程编码、长程代理与开放权重；部分型号可用 MIT 许可，便于私有部署。</w:t>
            </w:r>
          </w:p>
        </w:tc>
        <w:tc>
          <w:tcPr>
            <w:tcW w:type="dxa" w:w="3024"/>
            <w:vAlign w:val="center"/>
          </w:tcPr>
          <w:p>
            <w:pPr>
              <w:spacing w:after="20" w:before="20"/>
            </w:pPr>
            <w:r/>
            <w:r>
              <w:rPr>
                <w:rFonts w:ascii="Aptos" w:hAnsi="Aptos" w:eastAsia="Microsoft YaHei"/>
                <w:b w:val="0"/>
                <w:sz w:val="14"/>
              </w:rPr>
              <w:t>复杂任务资源消耗可能较高；长上下文高并发稳定性及输出质量需压测。</w:t>
            </w:r>
          </w:p>
        </w:tc>
      </w:tr>
      <w:tr>
        <w:tc>
          <w:tcPr>
            <w:tcW w:type="dxa" w:w="1296"/>
            <w:vAlign w:val="center"/>
            <w:shd w:fill="EEF4F7"/>
          </w:tcPr>
          <w:p>
            <w:pPr>
              <w:spacing w:after="20" w:before="20"/>
            </w:pPr>
            <w:r/>
            <w:r>
              <w:rPr>
                <w:rFonts w:ascii="Aptos" w:hAnsi="Aptos" w:eastAsia="Microsoft YaHei"/>
                <w:b w:val="0"/>
                <w:sz w:val="14"/>
              </w:rPr>
              <w:t>Mistral</w:t>
            </w:r>
          </w:p>
        </w:tc>
        <w:tc>
          <w:tcPr>
            <w:tcW w:type="dxa" w:w="2088"/>
            <w:vAlign w:val="center"/>
            <w:shd w:fill="EEF4F7"/>
          </w:tcPr>
          <w:p>
            <w:pPr>
              <w:spacing w:after="20" w:before="20"/>
            </w:pPr>
            <w:r/>
            <w:r>
              <w:rPr>
                <w:rFonts w:ascii="Aptos" w:hAnsi="Aptos" w:eastAsia="Microsoft YaHei"/>
                <w:b w:val="0"/>
                <w:sz w:val="14"/>
              </w:rPr>
              <w:t>Mistral Large 4（公开预览）；Small 4</w:t>
            </w:r>
          </w:p>
        </w:tc>
        <w:tc>
          <w:tcPr>
            <w:tcW w:type="dxa" w:w="1512"/>
            <w:vAlign w:val="center"/>
            <w:shd w:fill="EEF4F7"/>
          </w:tcPr>
          <w:p>
            <w:pPr>
              <w:spacing w:after="20" w:before="20"/>
            </w:pPr>
            <w:r/>
            <w:r>
              <w:rPr>
                <w:rFonts w:ascii="Aptos" w:hAnsi="Aptos" w:eastAsia="Microsoft YaHei"/>
                <w:b w:val="0"/>
                <w:sz w:val="14"/>
              </w:rPr>
              <w:t>开放权重/预览</w:t>
            </w:r>
          </w:p>
        </w:tc>
        <w:tc>
          <w:tcPr>
            <w:tcW w:type="dxa" w:w="2880"/>
            <w:vAlign w:val="center"/>
            <w:shd w:fill="EEF4F7"/>
          </w:tcPr>
          <w:p>
            <w:pPr>
              <w:spacing w:after="20" w:before="20"/>
            </w:pPr>
            <w:r/>
            <w:r>
              <w:rPr>
                <w:rFonts w:ascii="Aptos" w:hAnsi="Aptos" w:eastAsia="Microsoft YaHei"/>
                <w:b w:val="0"/>
                <w:sz w:val="14"/>
              </w:rPr>
              <w:t>强调欧洲数据主权和可控部署；Small 4 Apache 2.0，兼顾推理、多模态与编码。</w:t>
            </w:r>
          </w:p>
        </w:tc>
        <w:tc>
          <w:tcPr>
            <w:tcW w:type="dxa" w:w="3024"/>
            <w:vAlign w:val="center"/>
            <w:shd w:fill="EEF4F7"/>
          </w:tcPr>
          <w:p>
            <w:pPr>
              <w:spacing w:after="20" w:before="20"/>
            </w:pPr>
            <w:r/>
            <w:r>
              <w:rPr>
                <w:rFonts w:ascii="Aptos" w:hAnsi="Aptos" w:eastAsia="Microsoft YaHei"/>
                <w:b w:val="0"/>
                <w:sz w:val="14"/>
              </w:rPr>
              <w:t>Large 4 截止日期仍为预览，权重计划稍后开放；正式版性能和许可需复核。</w:t>
            </w:r>
          </w:p>
        </w:tc>
      </w:tr>
      <w:tr>
        <w:tc>
          <w:tcPr>
            <w:tcW w:type="dxa" w:w="1296"/>
            <w:vAlign w:val="center"/>
          </w:tcPr>
          <w:p>
            <w:pPr>
              <w:spacing w:after="20" w:before="20"/>
            </w:pPr>
            <w:r/>
            <w:r>
              <w:rPr>
                <w:rFonts w:ascii="Aptos" w:hAnsi="Aptos" w:eastAsia="Microsoft YaHei"/>
                <w:b w:val="0"/>
                <w:sz w:val="14"/>
              </w:rPr>
              <w:t>Meta</w:t>
            </w:r>
          </w:p>
        </w:tc>
        <w:tc>
          <w:tcPr>
            <w:tcW w:type="dxa" w:w="2088"/>
            <w:vAlign w:val="center"/>
          </w:tcPr>
          <w:p>
            <w:pPr>
              <w:spacing w:after="20" w:before="20"/>
            </w:pPr>
            <w:r/>
            <w:r>
              <w:rPr>
                <w:rFonts w:ascii="Aptos" w:hAnsi="Aptos" w:eastAsia="Microsoft YaHei"/>
                <w:b w:val="0"/>
                <w:sz w:val="14"/>
              </w:rPr>
              <w:t>Muse Spark；Llama 4 系列</w:t>
            </w:r>
          </w:p>
        </w:tc>
        <w:tc>
          <w:tcPr>
            <w:tcW w:type="dxa" w:w="1512"/>
            <w:vAlign w:val="center"/>
          </w:tcPr>
          <w:p>
            <w:pPr>
              <w:spacing w:after="20" w:before="20"/>
            </w:pPr>
            <w:r/>
            <w:r>
              <w:rPr>
                <w:rFonts w:ascii="Aptos" w:hAnsi="Aptos" w:eastAsia="Microsoft YaHei"/>
                <w:b w:val="0"/>
                <w:sz w:val="14"/>
              </w:rPr>
              <w:t>产品闭源体验 + 开权重系列</w:t>
            </w:r>
          </w:p>
        </w:tc>
        <w:tc>
          <w:tcPr>
            <w:tcW w:type="dxa" w:w="2880"/>
            <w:vAlign w:val="center"/>
          </w:tcPr>
          <w:p>
            <w:pPr>
              <w:spacing w:after="20" w:before="20"/>
            </w:pPr>
            <w:r/>
            <w:r>
              <w:rPr>
                <w:rFonts w:ascii="Aptos" w:hAnsi="Aptos" w:eastAsia="Microsoft YaHei"/>
                <w:b w:val="0"/>
                <w:sz w:val="14"/>
              </w:rPr>
              <w:t>Muse Spark 面向原生多模态与工具编排；Llama 生态便于微调、量化和端侧适配。</w:t>
            </w:r>
          </w:p>
        </w:tc>
        <w:tc>
          <w:tcPr>
            <w:tcW w:type="dxa" w:w="3024"/>
            <w:vAlign w:val="center"/>
          </w:tcPr>
          <w:p>
            <w:pPr>
              <w:spacing w:after="20" w:before="20"/>
            </w:pPr>
            <w:r/>
            <w:r>
              <w:rPr>
                <w:rFonts w:ascii="Aptos" w:hAnsi="Aptos" w:eastAsia="Microsoft YaHei"/>
                <w:b w:val="0"/>
                <w:sz w:val="14"/>
              </w:rPr>
              <w:t>Muse Spark 与 Llama 的开放程度不同；部署能力不能把同厂产品视为同一模型。</w:t>
            </w:r>
          </w:p>
        </w:tc>
      </w:tr>
      <w:tr>
        <w:tc>
          <w:tcPr>
            <w:tcW w:type="dxa" w:w="1296"/>
            <w:vAlign w:val="center"/>
            <w:shd w:fill="EEF4F7"/>
          </w:tcPr>
          <w:p>
            <w:pPr>
              <w:spacing w:after="20" w:before="20"/>
            </w:pPr>
            <w:r/>
            <w:r>
              <w:rPr>
                <w:rFonts w:ascii="Aptos" w:hAnsi="Aptos" w:eastAsia="Microsoft YaHei"/>
                <w:b w:val="0"/>
                <w:sz w:val="14"/>
              </w:rPr>
              <w:t>其他专长厂商</w:t>
            </w:r>
          </w:p>
        </w:tc>
        <w:tc>
          <w:tcPr>
            <w:tcW w:type="dxa" w:w="2088"/>
            <w:vAlign w:val="center"/>
            <w:shd w:fill="EEF4F7"/>
          </w:tcPr>
          <w:p>
            <w:pPr>
              <w:spacing w:after="20" w:before="20"/>
            </w:pPr>
            <w:r/>
            <w:r>
              <w:rPr>
                <w:rFonts w:ascii="Aptos" w:hAnsi="Aptos" w:eastAsia="Microsoft YaHei"/>
                <w:b w:val="0"/>
                <w:sz w:val="14"/>
              </w:rPr>
              <w:t>Cohere Command、Microsoft Phi、Moonshot Kimi、MiniMax 等</w:t>
            </w:r>
          </w:p>
        </w:tc>
        <w:tc>
          <w:tcPr>
            <w:tcW w:type="dxa" w:w="1512"/>
            <w:vAlign w:val="center"/>
            <w:shd w:fill="EEF4F7"/>
          </w:tcPr>
          <w:p>
            <w:pPr>
              <w:spacing w:after="20" w:before="20"/>
            </w:pPr>
            <w:r/>
            <w:r>
              <w:rPr>
                <w:rFonts w:ascii="Aptos" w:hAnsi="Aptos" w:eastAsia="Microsoft YaHei"/>
                <w:b w:val="0"/>
                <w:sz w:val="14"/>
              </w:rPr>
              <w:t>混合</w:t>
            </w:r>
          </w:p>
        </w:tc>
        <w:tc>
          <w:tcPr>
            <w:tcW w:type="dxa" w:w="2880"/>
            <w:vAlign w:val="center"/>
            <w:shd w:fill="EEF4F7"/>
          </w:tcPr>
          <w:p>
            <w:pPr>
              <w:spacing w:after="20" w:before="20"/>
            </w:pPr>
            <w:r/>
            <w:r>
              <w:rPr>
                <w:rFonts w:ascii="Aptos" w:hAnsi="Aptos" w:eastAsia="Microsoft YaHei"/>
                <w:b w:val="0"/>
                <w:sz w:val="14"/>
              </w:rPr>
              <w:t>企业检索、轻量端侧、中文长文本或特定代理工作流可能有性价比优势。</w:t>
            </w:r>
          </w:p>
        </w:tc>
        <w:tc>
          <w:tcPr>
            <w:tcW w:type="dxa" w:w="3024"/>
            <w:vAlign w:val="center"/>
            <w:shd w:fill="EEF4F7"/>
          </w:tcPr>
          <w:p>
            <w:pPr>
              <w:spacing w:after="20" w:before="20"/>
            </w:pPr>
            <w:r/>
            <w:r>
              <w:rPr>
                <w:rFonts w:ascii="Aptos" w:hAnsi="Aptos" w:eastAsia="Microsoft YaHei"/>
                <w:b w:val="0"/>
                <w:sz w:val="14"/>
              </w:rPr>
              <w:t>本次未将所有系列纳入同一数值排名；需结合目标地区、数据驻留与服务 SLA 试用。</w:t>
            </w:r>
          </w:p>
        </w:tc>
      </w:tr>
    </w:tbl>
    <w:p>
      <w:pPr>
        <w:spacing w:after="0"/>
      </w:pPr>
    </w:p>
    <w:p>
      <w:pPr>
        <w:pStyle w:val="Heading1"/>
      </w:pPr>
      <w:r>
        <w:t>按任务看优劣</w:t>
      </w:r>
    </w:p>
    <w:tbl>
      <w:tblPr>
        <w:tblStyle w:val="TableGrid"/>
        <w:tblW w:type="auto" w:w="0"/>
        <w:jc w:val="center"/>
        <w:tblLayout w:type="fixed"/>
        <w:tblLook w:firstColumn="1" w:firstRow="1" w:lastColumn="0" w:lastRow="0" w:noHBand="0" w:noVBand="1" w:val="04A0"/>
      </w:tblPr>
      <w:tblGrid>
        <w:gridCol w:w="3331"/>
        <w:gridCol w:w="3331"/>
        <w:gridCol w:w="3331"/>
      </w:tblGrid>
      <w:tr>
        <w:tc>
          <w:tcPr>
            <w:tcW w:type="dxa" w:w="2016"/>
            <w:vAlign w:val="center"/>
            <w:shd w:fill="164E72"/>
          </w:tcPr>
          <w:p>
            <w:pPr>
              <w:spacing w:after="20" w:before="20"/>
            </w:pPr>
            <w:r/>
            <w:r>
              <w:rPr>
                <w:rFonts w:ascii="Aptos" w:hAnsi="Aptos" w:eastAsia="Microsoft YaHei"/>
                <w:b/>
                <w:color w:val="FFFFFF"/>
                <w:sz w:val="15"/>
              </w:rPr>
              <w:t>任务</w:t>
            </w:r>
          </w:p>
        </w:tc>
        <w:tc>
          <w:tcPr>
            <w:tcW w:type="dxa" w:w="3240"/>
            <w:vAlign w:val="center"/>
            <w:shd w:fill="164E72"/>
          </w:tcPr>
          <w:p>
            <w:pPr>
              <w:spacing w:after="20" w:before="20"/>
            </w:pPr>
            <w:r/>
            <w:r>
              <w:rPr>
                <w:rFonts w:ascii="Aptos" w:hAnsi="Aptos" w:eastAsia="Microsoft YaHei"/>
                <w:b/>
                <w:color w:val="FFFFFF"/>
                <w:sz w:val="15"/>
              </w:rPr>
              <w:t>优先试用组合</w:t>
            </w:r>
          </w:p>
        </w:tc>
        <w:tc>
          <w:tcPr>
            <w:tcW w:type="dxa" w:w="5400"/>
            <w:vAlign w:val="center"/>
            <w:shd w:fill="164E72"/>
          </w:tcPr>
          <w:p>
            <w:pPr>
              <w:spacing w:after="20" w:before="20"/>
            </w:pPr>
            <w:r/>
            <w:r>
              <w:rPr>
                <w:rFonts w:ascii="Aptos" w:hAnsi="Aptos" w:eastAsia="Microsoft YaHei"/>
                <w:b/>
                <w:color w:val="FFFFFF"/>
                <w:sz w:val="15"/>
              </w:rPr>
              <w:t>判断依据与取舍</w:t>
            </w:r>
          </w:p>
        </w:tc>
      </w:tr>
      <w:tr>
        <w:tc>
          <w:tcPr>
            <w:tcW w:type="dxa" w:w="2016"/>
            <w:vAlign w:val="center"/>
          </w:tcPr>
          <w:p>
            <w:pPr>
              <w:spacing w:after="20" w:before="20"/>
            </w:pPr>
            <w:r/>
            <w:r>
              <w:rPr>
                <w:rFonts w:ascii="Aptos" w:hAnsi="Aptos" w:eastAsia="Microsoft YaHei"/>
                <w:b w:val="0"/>
                <w:sz w:val="15"/>
              </w:rPr>
              <w:t>复杂综合推理、研究与专业交付</w:t>
            </w:r>
          </w:p>
        </w:tc>
        <w:tc>
          <w:tcPr>
            <w:tcW w:type="dxa" w:w="3240"/>
            <w:vAlign w:val="center"/>
          </w:tcPr>
          <w:p>
            <w:pPr>
              <w:spacing w:after="20" w:before="20"/>
            </w:pPr>
            <w:r/>
            <w:r>
              <w:rPr>
                <w:rFonts w:ascii="Aptos" w:hAnsi="Aptos" w:eastAsia="Microsoft YaHei"/>
                <w:b w:val="0"/>
                <w:sz w:val="15"/>
              </w:rPr>
              <w:t>GPT-6 Astra、Claude Fable 5.1、Gemini 4 Argon</w:t>
            </w:r>
          </w:p>
        </w:tc>
        <w:tc>
          <w:tcPr>
            <w:tcW w:type="dxa" w:w="5400"/>
            <w:vAlign w:val="center"/>
          </w:tcPr>
          <w:p>
            <w:pPr>
              <w:spacing w:after="20" w:before="20"/>
            </w:pPr>
            <w:r/>
            <w:r>
              <w:rPr>
                <w:rFonts w:ascii="Aptos" w:hAnsi="Aptos" w:eastAsia="Microsoft YaHei"/>
                <w:b w:val="0"/>
                <w:sz w:val="15"/>
              </w:rPr>
              <w:t>用统一任务集测正确率、引用可核验性、返工时间和人类审阅负担；三家前沿能力接近，成本和流程集成可能决定结果。</w:t>
            </w:r>
          </w:p>
        </w:tc>
      </w:tr>
      <w:tr>
        <w:tc>
          <w:tcPr>
            <w:tcW w:type="dxa" w:w="2016"/>
            <w:vAlign w:val="center"/>
            <w:shd w:fill="EEF4F7"/>
          </w:tcPr>
          <w:p>
            <w:pPr>
              <w:spacing w:after="20" w:before="20"/>
            </w:pPr>
            <w:r/>
            <w:r>
              <w:rPr>
                <w:rFonts w:ascii="Aptos" w:hAnsi="Aptos" w:eastAsia="Microsoft YaHei"/>
                <w:b w:val="0"/>
                <w:sz w:val="15"/>
              </w:rPr>
              <w:t>软件工程与代码代理</w:t>
            </w:r>
          </w:p>
        </w:tc>
        <w:tc>
          <w:tcPr>
            <w:tcW w:type="dxa" w:w="3240"/>
            <w:vAlign w:val="center"/>
            <w:shd w:fill="EEF4F7"/>
          </w:tcPr>
          <w:p>
            <w:pPr>
              <w:spacing w:after="20" w:before="20"/>
            </w:pPr>
            <w:r/>
            <w:r>
              <w:rPr>
                <w:rFonts w:ascii="Aptos" w:hAnsi="Aptos" w:eastAsia="Microsoft YaHei"/>
                <w:b w:val="0"/>
                <w:sz w:val="15"/>
              </w:rPr>
              <w:t>Claude Fable 5.1、GPT-6 Astra、GLM-5.3、Qwen3.8-Max、DeepSeek V4</w:t>
            </w:r>
          </w:p>
        </w:tc>
        <w:tc>
          <w:tcPr>
            <w:tcW w:type="dxa" w:w="5400"/>
            <w:vAlign w:val="center"/>
            <w:shd w:fill="EEF4F7"/>
          </w:tcPr>
          <w:p>
            <w:pPr>
              <w:spacing w:after="20" w:before="20"/>
            </w:pPr>
            <w:r/>
            <w:r>
              <w:rPr>
                <w:rFonts w:ascii="Aptos" w:hAnsi="Aptos" w:eastAsia="Microsoft YaHei"/>
                <w:b w:val="0"/>
                <w:sz w:val="15"/>
              </w:rPr>
              <w:t>采用 SWE-bench 类结果作初筛，最终用自有仓库 issue 做盲测；记录测试通过率、补丁可维护性、工具调用次数和费用。</w:t>
            </w:r>
          </w:p>
        </w:tc>
      </w:tr>
      <w:tr>
        <w:tc>
          <w:tcPr>
            <w:tcW w:type="dxa" w:w="2016"/>
            <w:vAlign w:val="center"/>
          </w:tcPr>
          <w:p>
            <w:pPr>
              <w:spacing w:after="20" w:before="20"/>
            </w:pPr>
            <w:r/>
            <w:r>
              <w:rPr>
                <w:rFonts w:ascii="Aptos" w:hAnsi="Aptos" w:eastAsia="Microsoft YaHei"/>
                <w:b w:val="0"/>
                <w:sz w:val="15"/>
              </w:rPr>
              <w:t>低成本、高吞吐批处理</w:t>
            </w:r>
          </w:p>
        </w:tc>
        <w:tc>
          <w:tcPr>
            <w:tcW w:type="dxa" w:w="3240"/>
            <w:vAlign w:val="center"/>
          </w:tcPr>
          <w:p>
            <w:pPr>
              <w:spacing w:after="20" w:before="20"/>
            </w:pPr>
            <w:r/>
            <w:r>
              <w:rPr>
                <w:rFonts w:ascii="Aptos" w:hAnsi="Aptos" w:eastAsia="Microsoft YaHei"/>
                <w:b w:val="0"/>
                <w:sz w:val="15"/>
              </w:rPr>
              <w:t>DeepSeek V4 Flash、GPT-6 Luna、Gemini Flash、GLM Flash</w:t>
            </w:r>
          </w:p>
        </w:tc>
        <w:tc>
          <w:tcPr>
            <w:tcW w:type="dxa" w:w="5400"/>
            <w:vAlign w:val="center"/>
          </w:tcPr>
          <w:p>
            <w:pPr>
              <w:spacing w:after="20" w:before="20"/>
            </w:pPr>
            <w:r/>
            <w:r>
              <w:rPr>
                <w:rFonts w:ascii="Aptos" w:hAnsi="Aptos" w:eastAsia="Microsoft YaHei"/>
                <w:b w:val="0"/>
                <w:sz w:val="15"/>
              </w:rPr>
              <w:t>比较单位成功任务成本，而非每百万 token 标价；设置质量阈值，失败任务转交强模型。</w:t>
            </w:r>
          </w:p>
        </w:tc>
      </w:tr>
      <w:tr>
        <w:tc>
          <w:tcPr>
            <w:tcW w:type="dxa" w:w="2016"/>
            <w:vAlign w:val="center"/>
            <w:shd w:fill="EEF4F7"/>
          </w:tcPr>
          <w:p>
            <w:pPr>
              <w:spacing w:after="20" w:before="20"/>
            </w:pPr>
            <w:r/>
            <w:r>
              <w:rPr>
                <w:rFonts w:ascii="Aptos" w:hAnsi="Aptos" w:eastAsia="Microsoft YaHei"/>
                <w:b w:val="0"/>
                <w:sz w:val="15"/>
              </w:rPr>
              <w:t>中文文本、资料处理与本地部署</w:t>
            </w:r>
          </w:p>
        </w:tc>
        <w:tc>
          <w:tcPr>
            <w:tcW w:type="dxa" w:w="3240"/>
            <w:vAlign w:val="center"/>
            <w:shd w:fill="EEF4F7"/>
          </w:tcPr>
          <w:p>
            <w:pPr>
              <w:spacing w:after="20" w:before="20"/>
            </w:pPr>
            <w:r/>
            <w:r>
              <w:rPr>
                <w:rFonts w:ascii="Aptos" w:hAnsi="Aptos" w:eastAsia="Microsoft YaHei"/>
                <w:b w:val="0"/>
                <w:sz w:val="15"/>
              </w:rPr>
              <w:t>Qwen、DeepSeek、GLM；视环境测试 Llama / Mistral</w:t>
            </w:r>
          </w:p>
        </w:tc>
        <w:tc>
          <w:tcPr>
            <w:tcW w:type="dxa" w:w="5400"/>
            <w:vAlign w:val="center"/>
            <w:shd w:fill="EEF4F7"/>
          </w:tcPr>
          <w:p>
            <w:pPr>
              <w:spacing w:after="20" w:before="20"/>
            </w:pPr>
            <w:r/>
            <w:r>
              <w:rPr>
                <w:rFonts w:ascii="Aptos" w:hAnsi="Aptos" w:eastAsia="Microsoft YaHei"/>
                <w:b w:val="0"/>
                <w:sz w:val="15"/>
              </w:rPr>
              <w:t>中文表达和本地权重可控性突出；要额外测试长文事实保持、表格抽取、术语一致性及许可证限制。</w:t>
            </w:r>
          </w:p>
        </w:tc>
      </w:tr>
      <w:tr>
        <w:tc>
          <w:tcPr>
            <w:tcW w:type="dxa" w:w="2016"/>
            <w:vAlign w:val="center"/>
          </w:tcPr>
          <w:p>
            <w:pPr>
              <w:spacing w:after="20" w:before="20"/>
            </w:pPr>
            <w:r/>
            <w:r>
              <w:rPr>
                <w:rFonts w:ascii="Aptos" w:hAnsi="Aptos" w:eastAsia="Microsoft YaHei"/>
                <w:b w:val="0"/>
                <w:sz w:val="15"/>
              </w:rPr>
              <w:t>多模态、超长上下文与生态集成</w:t>
            </w:r>
          </w:p>
        </w:tc>
        <w:tc>
          <w:tcPr>
            <w:tcW w:type="dxa" w:w="3240"/>
            <w:vAlign w:val="center"/>
          </w:tcPr>
          <w:p>
            <w:pPr>
              <w:spacing w:after="20" w:before="20"/>
            </w:pPr>
            <w:r/>
            <w:r>
              <w:rPr>
                <w:rFonts w:ascii="Aptos" w:hAnsi="Aptos" w:eastAsia="Microsoft YaHei"/>
                <w:b w:val="0"/>
                <w:sz w:val="15"/>
              </w:rPr>
              <w:t>Gemini、GPT-6、Claude；开放方案看 Qwen / Mistral</w:t>
            </w:r>
          </w:p>
        </w:tc>
        <w:tc>
          <w:tcPr>
            <w:tcW w:type="dxa" w:w="5400"/>
            <w:vAlign w:val="center"/>
          </w:tcPr>
          <w:p>
            <w:pPr>
              <w:spacing w:after="20" w:before="20"/>
            </w:pPr>
            <w:r/>
            <w:r>
              <w:rPr>
                <w:rFonts w:ascii="Aptos" w:hAnsi="Aptos" w:eastAsia="Microsoft YaHei"/>
                <w:b w:val="0"/>
                <w:sz w:val="15"/>
              </w:rPr>
              <w:t>实际评估图片/音频/视频输入、文档页数、检索准确率、上下文位置鲁棒性和数据治理。</w:t>
            </w:r>
          </w:p>
        </w:tc>
      </w:tr>
    </w:tbl>
    <w:p>
      <w:pPr>
        <w:spacing w:after="0"/>
      </w:pPr>
    </w:p>
    <w:p>
      <w:pPr>
        <w:pStyle w:val="Heading1"/>
      </w:pPr>
      <w:r>
        <w:t>开放权重与闭源 API 如何取舍</w:t>
      </w:r>
    </w:p>
    <w:p>
      <w:r>
        <w:t>闭源 API 通常能更快获得顶尖模型、托管扩缩容和配套工具，适合先验证业务价值；代价是持续按量付费、供应商依赖、数据传输和版本漂移。开权重可让团队控制部署、微调、量化和数据边界，但需要承担 GPU、推理优化、监控、安全更新和许可证审查。</w:t>
      </w:r>
    </w:p>
    <w:p>
      <w:r>
        <w:t>开放权重不等于完全开源：训练数据、代码、使用限制、商标和再分发条件可能不同。采购前应逐一核对模型卡/许可证，并确认权重版本、量化版本和服务商托管版本是否一致。对敏感数据还需确认日志留存、区域、训练使用政策、加密和删除机制。</w:t>
      </w:r>
    </w:p>
    <w:p>
      <w:pPr>
        <w:pStyle w:val="Heading1"/>
      </w:pPr>
      <w:r>
        <w:t>选型建议</w:t>
      </w:r>
    </w:p>
    <w:p>
      <w:pPr>
        <w:pStyle w:val="ListBullet"/>
        <w:spacing w:after="40"/>
      </w:pPr>
      <w:r>
        <w:t>建立 30–100 条真实任务的评测集，覆盖日常问答、长文档、中文、代码、工具调用和高风险边界；答案由业务专家标注。</w:t>
      </w:r>
    </w:p>
    <w:p>
      <w:pPr>
        <w:pStyle w:val="ListBullet"/>
        <w:spacing w:after="40"/>
      </w:pPr>
      <w:r>
        <w:t>先用统一提示和固定工具环境比较 3 个闭源旗舰、2 个低成本型号、2 个开权重型号；对推理档位与版本号做记录。</w:t>
      </w:r>
    </w:p>
    <w:p>
      <w:pPr>
        <w:pStyle w:val="ListBullet"/>
        <w:spacing w:after="40"/>
      </w:pPr>
      <w:r>
        <w:t>统计成功任务成本、P50/P95 延迟、错误类型、人工接管率、引用可验证率和安全事件，不以单次榜单名次代替采购结论。</w:t>
      </w:r>
    </w:p>
    <w:p>
      <w:pPr>
        <w:pStyle w:val="ListBullet"/>
        <w:spacing w:after="40"/>
      </w:pPr>
      <w:r>
        <w:t>按任务路由：小模型承担分类、抽取和草稿；旗舰模型处理复杂例外；对有外部操作权限的代理加最小权限、确认门槛和审计。</w:t>
      </w:r>
    </w:p>
    <w:p>
      <w:pPr>
        <w:pStyle w:val="ListBullet"/>
        <w:spacing w:after="40"/>
      </w:pPr>
      <w:r>
        <w:t>为供应商变更设置回归测试和回滚方案。模型可能静默更新，评测快照与上线版本要能对应。</w:t>
      </w:r>
    </w:p>
    <w:p>
      <w:pPr>
        <w:pStyle w:val="Heading1"/>
      </w:pPr>
      <w:r>
        <w:t>数据来源与参考链接</w:t>
      </w:r>
    </w:p>
    <w:p>
      <w:r>
        <w:t>以下页面用于确认型号、版本状态和数据快照。榜单可能在报告生成后继续变化；链接访问日期统一为 2026 年 10 月 19 日。</w:t>
      </w:r>
    </w:p>
    <w:p>
      <w:pPr>
        <w:spacing w:after="40"/>
      </w:pPr>
      <w:r>
        <w:rPr>
          <w:b/>
        </w:rPr>
        <w:t xml:space="preserve">Artificial Analysis 模型总榜与能力/成本指标  </w:t>
      </w:r>
      <w:hyperlink r:id="rId11">
        <w:r>
          <w:rPr>
            <w:color w:val="1677A8"/>
            <w:u w:val="single"/>
          </w:rPr>
          <w:t>https://artificialanalysis.ai/leaderboards/models/</w:t>
        </w:r>
      </w:hyperlink>
    </w:p>
    <w:p>
      <w:pPr>
        <w:spacing w:after="40"/>
      </w:pPr>
      <w:r>
        <w:rPr>
          <w:b/>
        </w:rPr>
        <w:t xml:space="preserve">Artificial Analysis Gemini 4 Argon 与 Claude Fable 5.1 对照  </w:t>
      </w:r>
      <w:hyperlink r:id="rId12">
        <w:r>
          <w:rPr>
            <w:color w:val="1677A8"/>
            <w:u w:val="single"/>
          </w:rPr>
          <w:t>https://artificialanalysis.ai/models/comparisons/gemini-4-argon-vs-claude-fable-5-1-high</w:t>
        </w:r>
      </w:hyperlink>
    </w:p>
    <w:p>
      <w:pPr>
        <w:spacing w:after="40"/>
      </w:pPr>
      <w:r>
        <w:rPr>
          <w:b/>
        </w:rPr>
        <w:t xml:space="preserve">Google DeepMind 模型卡目录  </w:t>
      </w:r>
      <w:hyperlink r:id="rId13">
        <w:r>
          <w:rPr>
            <w:color w:val="1677A8"/>
            <w:u w:val="single"/>
          </w:rPr>
          <w:t>https://deepmind.google/models/model-cards/</w:t>
        </w:r>
      </w:hyperlink>
    </w:p>
    <w:p>
      <w:pPr>
        <w:spacing w:after="40"/>
      </w:pPr>
      <w:r>
        <w:rPr>
          <w:b/>
        </w:rPr>
        <w:t xml:space="preserve">OpenAI GPT-6 Astra 发布页  </w:t>
      </w:r>
      <w:hyperlink r:id="rId14">
        <w:r>
          <w:rPr>
            <w:color w:val="1677A8"/>
            <w:u w:val="single"/>
          </w:rPr>
          <w:t>https://openai.com/index/gpt-6-astra/</w:t>
        </w:r>
      </w:hyperlink>
    </w:p>
    <w:p>
      <w:pPr>
        <w:spacing w:after="40"/>
      </w:pPr>
      <w:r>
        <w:rPr>
          <w:b/>
        </w:rPr>
        <w:t xml:space="preserve">OpenAI GPT-6 Sol 与 Luna 发布页  </w:t>
      </w:r>
      <w:hyperlink r:id="rId15">
        <w:r>
          <w:rPr>
            <w:color w:val="1677A8"/>
            <w:u w:val="single"/>
          </w:rPr>
          <w:t>https://openai.com/index/introducing-gpt-6-sol-and-luna/</w:t>
        </w:r>
      </w:hyperlink>
    </w:p>
    <w:p>
      <w:pPr>
        <w:spacing w:after="40"/>
      </w:pPr>
      <w:r>
        <w:rPr>
          <w:b/>
        </w:rPr>
        <w:t xml:space="preserve">Anthropic Claude Fable 5 与 5.1  </w:t>
      </w:r>
      <w:hyperlink r:id="rId16">
        <w:r>
          <w:rPr>
            <w:color w:val="1677A8"/>
            <w:u w:val="single"/>
          </w:rPr>
          <w:t>https://www.anthropic.com/claude/fable</w:t>
        </w:r>
      </w:hyperlink>
    </w:p>
    <w:p>
      <w:pPr>
        <w:spacing w:after="40"/>
      </w:pPr>
      <w:r>
        <w:rPr>
          <w:b/>
        </w:rPr>
        <w:t xml:space="preserve">DeepSeek 模型透明度中心  </w:t>
      </w:r>
      <w:hyperlink r:id="rId17">
        <w:r>
          <w:rPr>
            <w:color w:val="1677A8"/>
            <w:u w:val="single"/>
          </w:rPr>
          <w:t>https://www.deepseek.com/en/transparency/</w:t>
        </w:r>
      </w:hyperlink>
    </w:p>
    <w:p>
      <w:pPr>
        <w:spacing w:after="40"/>
      </w:pPr>
      <w:r>
        <w:rPr>
          <w:b/>
        </w:rPr>
        <w:t xml:space="preserve">DeepSeek V4 系列新闻  </w:t>
      </w:r>
      <w:hyperlink r:id="rId18">
        <w:r>
          <w:rPr>
            <w:color w:val="1677A8"/>
            <w:u w:val="single"/>
          </w:rPr>
          <w:t>https://deepseek.com/en/news/</w:t>
        </w:r>
      </w:hyperlink>
    </w:p>
    <w:p>
      <w:pPr>
        <w:spacing w:after="40"/>
      </w:pPr>
      <w:r>
        <w:rPr>
          <w:b/>
        </w:rPr>
        <w:t xml:space="preserve">Qwen3.8-Max 官方发布  </w:t>
      </w:r>
      <w:hyperlink r:id="rId19">
        <w:r>
          <w:rPr>
            <w:color w:val="1677A8"/>
            <w:u w:val="single"/>
          </w:rPr>
          <w:t>https://qwen.ai/blog?id=qwen3.8</w:t>
        </w:r>
      </w:hyperlink>
    </w:p>
    <w:p>
      <w:pPr>
        <w:spacing w:after="40"/>
      </w:pPr>
      <w:r>
        <w:rPr>
          <w:b/>
        </w:rPr>
        <w:t xml:space="preserve">Z.ai GLM-5.3 官方发布  </w:t>
      </w:r>
      <w:hyperlink r:id="rId20">
        <w:r>
          <w:rPr>
            <w:color w:val="1677A8"/>
            <w:u w:val="single"/>
          </w:rPr>
          <w:t>https://z.ai/blog/glm-5.3</w:t>
        </w:r>
      </w:hyperlink>
    </w:p>
    <w:p>
      <w:pPr>
        <w:spacing w:after="40"/>
      </w:pPr>
      <w:r>
        <w:rPr>
          <w:b/>
        </w:rPr>
        <w:t xml:space="preserve">Mistral Large 4 官方发布  </w:t>
      </w:r>
      <w:hyperlink r:id="rId21">
        <w:r>
          <w:rPr>
            <w:color w:val="1677A8"/>
            <w:u w:val="single"/>
          </w:rPr>
          <w:t>https://mistral.ai/news/mistral-large-4/</w:t>
        </w:r>
      </w:hyperlink>
    </w:p>
    <w:p>
      <w:pPr>
        <w:spacing w:after="40"/>
      </w:pPr>
      <w:r>
        <w:rPr>
          <w:b/>
        </w:rPr>
        <w:t xml:space="preserve">Mistral Small 4 官方发布  </w:t>
      </w:r>
      <w:hyperlink r:id="rId22">
        <w:r>
          <w:rPr>
            <w:color w:val="1677A8"/>
            <w:u w:val="single"/>
          </w:rPr>
          <w:t>https://mistral.ai/news/mistral-small-4/</w:t>
        </w:r>
      </w:hyperlink>
    </w:p>
    <w:p>
      <w:pPr>
        <w:spacing w:after="40"/>
      </w:pPr>
      <w:r>
        <w:rPr>
          <w:b/>
        </w:rPr>
        <w:t xml:space="preserve">Meta Muse Spark 官方发布  </w:t>
      </w:r>
      <w:hyperlink r:id="rId23">
        <w:r>
          <w:rPr>
            <w:color w:val="1677A8"/>
            <w:u w:val="single"/>
          </w:rPr>
          <w:t>https://ai.meta.com/blog/introducing-muse-spark-msl/</w:t>
        </w:r>
      </w:hyperlink>
    </w:p>
    <w:p>
      <w:pPr>
        <w:spacing w:after="40"/>
      </w:pPr>
      <w:r>
        <w:rPr>
          <w:b/>
        </w:rPr>
        <w:t xml:space="preserve">xAI Grok 4.20 模型卡  </w:t>
      </w:r>
      <w:hyperlink r:id="rId24">
        <w:r>
          <w:rPr>
            <w:color w:val="1677A8"/>
            <w:u w:val="single"/>
          </w:rPr>
          <w:t>https://data.x.ai/2026-04-07-grok-4-20-model-card.pdf</w:t>
        </w:r>
      </w:hyperlink>
    </w:p>
    <w:p>
      <w:pPr>
        <w:spacing w:after="40"/>
      </w:pPr>
      <w:r>
        <w:rPr>
          <w:b/>
        </w:rPr>
        <w:t xml:space="preserve">LMArena 文本偏好榜单（第三方镜像）  </w:t>
      </w:r>
      <w:hyperlink r:id="rId25">
        <w:r>
          <w:rPr>
            <w:color w:val="1677A8"/>
            <w:u w:val="single"/>
          </w:rPr>
          <w:t>https://www.benchleader.com/benchmarks/lmarena_text</w:t>
        </w:r>
      </w:hyperlink>
    </w:p>
    <w:p>
      <w:r>
        <w:t>编制说明：优劣分析结合公开模型卡、厂商技术资料与第三方榜单作定性归纳；“优先试用”表示建议进入本地评估，不代表对所有工作负载的绝对排名。</w:t>
      </w:r>
    </w:p>
    <w:sectPr w:rsidR="00FC693F" w:rsidRPr="0006063C" w:rsidSect="00034616">
      <w:headerReference w:type="default" r:id="rId9"/>
      <w:footerReference w:type="default" r:id="rId10"/>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资料检索截止 2026年10月19日  ·  公开信息与可复核基准</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F7080"/>
        <w:sz w:val="16"/>
      </w:rPr>
      <w:t>大语言模型横向对比  |  研究简报</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eastAsia="Microsoft YaHei"/>
      <w:color w:val="29334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w:hAnsi="Aptos" w:eastAsia="Microsoft YaHei"/>
      <w:b/>
      <w:bCs/>
      <w:color w:val="164C7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Microsoft YaHei"/>
      <w:b/>
      <w:bCs/>
      <w:color w:val="186888"/>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Microsoft YaHei"/>
      <w:b/>
      <w:color w:val="163152"/>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Microsoft YaHe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rtificialanalysis.ai/leaderboards/models/" TargetMode="External"/><Relationship Id="rId12" Type="http://schemas.openxmlformats.org/officeDocument/2006/relationships/hyperlink" Target="https://artificialanalysis.ai/models/comparisons/gemini-4-argon-vs-claude-fable-5-1-high" TargetMode="External"/><Relationship Id="rId13" Type="http://schemas.openxmlformats.org/officeDocument/2006/relationships/hyperlink" Target="https://deepmind.google/models/model-cards/" TargetMode="External"/><Relationship Id="rId14" Type="http://schemas.openxmlformats.org/officeDocument/2006/relationships/hyperlink" Target="https://openai.com/index/gpt-6-astra/" TargetMode="External"/><Relationship Id="rId15" Type="http://schemas.openxmlformats.org/officeDocument/2006/relationships/hyperlink" Target="https://openai.com/index/introducing-gpt-6-sol-and-luna/" TargetMode="External"/><Relationship Id="rId16" Type="http://schemas.openxmlformats.org/officeDocument/2006/relationships/hyperlink" Target="https://www.anthropic.com/claude/fable" TargetMode="External"/><Relationship Id="rId17" Type="http://schemas.openxmlformats.org/officeDocument/2006/relationships/hyperlink" Target="https://www.deepseek.com/en/transparency/" TargetMode="External"/><Relationship Id="rId18" Type="http://schemas.openxmlformats.org/officeDocument/2006/relationships/hyperlink" Target="https://deepseek.com/en/news/" TargetMode="External"/><Relationship Id="rId19" Type="http://schemas.openxmlformats.org/officeDocument/2006/relationships/hyperlink" Target="https://qwen.ai/blog?id=qwen3.8" TargetMode="External"/><Relationship Id="rId20" Type="http://schemas.openxmlformats.org/officeDocument/2006/relationships/hyperlink" Target="https://z.ai/blog/glm-5.3" TargetMode="External"/><Relationship Id="rId21" Type="http://schemas.openxmlformats.org/officeDocument/2006/relationships/hyperlink" Target="https://mistral.ai/news/mistral-large-4/" TargetMode="External"/><Relationship Id="rId22" Type="http://schemas.openxmlformats.org/officeDocument/2006/relationships/hyperlink" Target="https://mistral.ai/news/mistral-small-4/" TargetMode="External"/><Relationship Id="rId23" Type="http://schemas.openxmlformats.org/officeDocument/2006/relationships/hyperlink" Target="https://ai.meta.com/blog/introducing-muse-spark-msl/" TargetMode="External"/><Relationship Id="rId24" Type="http://schemas.openxmlformats.org/officeDocument/2006/relationships/hyperlink" Target="https://data.x.ai/2026-04-07-grok-4-20-model-card.pdf" TargetMode="External"/><Relationship Id="rId25" Type="http://schemas.openxmlformats.org/officeDocument/2006/relationships/hyperlink" Target="https://www.benchleader.com/benchmarks/lmarena_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大语言模型横向对比报告（截至2026年10月19日）</dc:title>
  <dc:subject>主流大语言模型能力、成本、开放性和适用场景比较</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