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240"/>
        <w:jc w:val="center"/>
      </w:pPr>
      <w:r>
        <w:rPr>
          <w:rFonts w:ascii="黑体" w:hAnsi="黑体" w:eastAsia="黑体"/>
          <w:b/>
          <w:sz w:val="36"/>
        </w:rPr>
        <w:t>《针灸穴位-基因关联数据库的构建及数据挖掘分析》审稿意见</w:t>
      </w:r>
    </w:p>
    <w:p>
      <w:pPr>
        <w:spacing w:after="240"/>
        <w:jc w:val="center"/>
      </w:pPr>
      <w:r>
        <w:rPr>
          <w:rFonts w:ascii="楷体" w:hAnsi="楷体" w:eastAsia="楷体"/>
          <w:color w:val="FF0000"/>
          <w:sz w:val="22"/>
        </w:rPr>
        <w:t>审稿专家意见稿</w:t>
        <w:br/>
        <w:t>红色字体为问题标识，括号内为修改建议</w:t>
      </w:r>
    </w:p>
    <w:p/>
    <w:p>
      <w:pPr>
        <w:spacing w:after="120"/>
      </w:pPr>
      <w:r>
        <w:rPr>
          <w:rFonts w:ascii="黑体" w:hAnsi="黑体" w:eastAsia="黑体"/>
          <w:b/>
          <w:sz w:val="28"/>
        </w:rPr>
        <w:t>一、总体评价</w:t>
      </w:r>
    </w:p>
    <w:p>
      <w:r>
        <w:rPr>
          <w:rFonts w:ascii="宋体" w:hAnsi="宋体" w:eastAsia="宋体"/>
          <w:sz w:val="21"/>
        </w:rPr>
        <w:t>本文尝试构建针灸穴位-基因关联数据库并进行数据挖掘分析，选题具有一定的应用价值。然而，在数据分析思路、原始数据处理方法及统计推断逻辑上存在多处较为明显的问题，需要作者认真修改。主要问题集中在：（1）纳入数据来源混杂，实验研究与预测性研究未分层；（2）文本挖掘后的数据清洗不彻底，非基因实体及同义重复计数问题突出；（3）共现分析逻辑被过度解读为“调控关系”；（4）部分年份数据异常未予解释。建议大修后再投。</w:t>
      </w:r>
    </w:p>
    <w:p/>
    <w:p>
      <w:pPr>
        <w:spacing w:after="120"/>
      </w:pPr>
      <w:r>
        <w:rPr>
          <w:rFonts w:ascii="黑体" w:hAnsi="黑体" w:eastAsia="黑体"/>
          <w:b/>
          <w:sz w:val="28"/>
        </w:rPr>
        <w:t>二、数据分析思路问题（按章节顺序）</w:t>
      </w:r>
    </w:p>
    <w:p>
      <w:pPr>
        <w:spacing w:after="80"/>
      </w:pPr>
      <w:r>
        <w:rPr>
          <w:rFonts w:ascii="黑体" w:hAnsi="黑体" w:eastAsia="黑体"/>
          <w:b/>
          <w:sz w:val="24"/>
        </w:rPr>
        <w:t>2.1 纳入排除标准（2.2节）</w:t>
      </w:r>
    </w:p>
    <w:p>
      <w:r>
        <w:rPr>
          <w:rFonts w:ascii="宋体" w:hAnsi="宋体" w:eastAsia="宋体"/>
          <w:sz w:val="21"/>
        </w:rPr>
        <w:t>纳入标准：（1）研究类型为实验研究、临床研究或网络药理学研究；</w:t>
      </w:r>
      <w:r>
        <w:rPr>
          <w:rFonts w:ascii="楷体" w:hAnsi="楷体" w:eastAsia="楷体"/>
          <w:b/>
          <w:color w:val="FF0000"/>
          <w:sz w:val="21"/>
        </w:rPr>
        <w:t xml:space="preserve"> 【审稿意见：方法学重大缺陷：将“网络药理学研究”（in silico预测）与实验/临床研究（体外/体内验证）纳入同一数据库并等同处理，会导致预测靶点与实验验证基因混为一谈，严重稀释数据库的证据等级。】</w:t>
      </w:r>
      <w:r>
        <w:rPr>
          <w:rFonts w:ascii="楷体" w:hAnsi="楷体" w:eastAsia="楷体"/>
          <w:color w:val="FF0000"/>
          <w:sz w:val="21"/>
        </w:rPr>
        <w:t>（建议修改为：纳入标准：（1）研究类型为实验研究、临床研究或网络药理学研究，但须在数据库中设置“证据等级”字段（实验验证=Ⅰ级，临床研究=Ⅱ级，网络药理学预测=Ⅲ级），分层统计与展示，避免将预测性靶点直接等同于实验验证的差异表达基因。）</w:t>
      </w:r>
    </w:p>
    <w:p>
      <w:r>
        <w:rPr>
          <w:rFonts w:ascii="宋体" w:hAnsi="宋体" w:eastAsia="宋体"/>
          <w:sz w:val="21"/>
        </w:rPr>
        <w:t>排除标准：（1）综述、Meta分析、系统评价及述评类文献；（2）仅涉及中药成分而未涉及穴位刺激的文献；（3）摘要信息不完整，无法提取穴位或基因数据的文献。</w:t>
      </w:r>
      <w:r>
        <w:rPr>
          <w:rFonts w:ascii="楷体" w:hAnsi="楷体" w:eastAsia="楷体"/>
          <w:b/>
          <w:color w:val="FF0000"/>
          <w:sz w:val="21"/>
        </w:rPr>
        <w:t xml:space="preserve"> 【审稿意见：排除标准不完整：未明确排除“动物实验未注明物种”“细胞实验未注明穴位模拟方式”等低可外推性研究；亦未说明是否纳入“摘要尚未公开”的Ahead of print文献。】</w:t>
      </w:r>
      <w:r>
        <w:rPr>
          <w:rFonts w:ascii="楷体" w:hAnsi="楷体" w:eastAsia="楷体"/>
          <w:color w:val="FF0000"/>
          <w:sz w:val="21"/>
        </w:rPr>
        <w:t>（建议修改为：排除标准增加：（4）动物实验未明确报告物种及造模方法者；（5）细胞实验未明确穴位刺激模拟方式（如电针条件培养基）者；（6）Ahead of print且无完整摘要者。）</w:t>
      </w:r>
    </w:p>
    <w:p/>
    <w:p>
      <w:pPr>
        <w:spacing w:after="80"/>
      </w:pPr>
      <w:r>
        <w:rPr>
          <w:rFonts w:ascii="黑体" w:hAnsi="黑体" w:eastAsia="黑体"/>
          <w:b/>
          <w:sz w:val="24"/>
        </w:rPr>
        <w:t>2.2 数据标准化声明与实际不符（2.3节）</w:t>
      </w:r>
    </w:p>
    <w:p>
      <w:r>
        <w:rPr>
          <w:rFonts w:ascii="宋体" w:hAnsi="宋体" w:eastAsia="宋体"/>
          <w:sz w:val="21"/>
        </w:rPr>
        <w:t>基因符号以NCBI Gene数据库为参照进行标准化，去除重复项及非基因实体（如技术术语、疾病缩写等）。</w:t>
      </w:r>
      <w:r>
        <w:rPr>
          <w:rFonts w:ascii="楷体" w:hAnsi="楷体" w:eastAsia="楷体"/>
          <w:b/>
          <w:color w:val="FF0000"/>
          <w:sz w:val="21"/>
        </w:rPr>
        <w:t xml:space="preserve"> 【审稿意见：原始数据清洗存在严重问题。实际提取的基因列表中仍包含大量非基因实体：METABOLOMIC（代谢组学，技术术语）、POSTOPERATIVE（术后，临床术语）、WEB（网页）、STROKE（脑卒中，疾病名）、SYNDROME（综合征）、PROFILING（分析技术）、IVF（体外受精）、SPINAL（脊柱）、HOMA（稳态模型评估）、TRIAL（临床试验）、NOD（结节）、ECM（细胞外基质）等。此外，PI3K、AKT、MAPK均为基因家族/通路总称，并非单一基因符号；LC3官方符号为MAP1LC3A/B/C，BECLIN官方符号为BECN1。】</w:t>
      </w:r>
      <w:r>
        <w:rPr>
          <w:rFonts w:ascii="楷体" w:hAnsi="楷体" w:eastAsia="楷体"/>
          <w:color w:val="FF0000"/>
          <w:sz w:val="21"/>
        </w:rPr>
        <w:t>（建议修改为：基因符号以NCBI Gene/HGNC数据库为参照进行标准化，采用双向校验机制：首先通过字典匹配去除已知非基因实体（如技术术语、疾病缩写、实验操作词等），其次将家族性名称（如PI3K、AKT、MAPK）拆分为具体基因亚型（PIK3CA、PIK3CB、AKT1、AKT2等）或单独标注为“基因家族/通路”，再次对剩余候选基因进行NCBI Gene API批量校验，仅保留官方Symbol，确保2083个实体均为有效基因。）</w:t>
      </w:r>
    </w:p>
    <w:p>
      <w:r>
        <w:rPr>
          <w:rFonts w:ascii="宋体" w:hAnsi="宋体" w:eastAsia="宋体"/>
          <w:sz w:val="21"/>
        </w:rPr>
        <w:t>穴位名称参照《腧穴名称与定位》（GB/T 12346—2021）进行规范化处理，将英文代码（如ST36、LR3）、拼音（如Zusanli、Taichong）及别名统一转换为标准中文名称。</w:t>
      </w:r>
      <w:r>
        <w:rPr>
          <w:rFonts w:ascii="楷体" w:hAnsi="楷体" w:eastAsia="楷体"/>
          <w:b/>
          <w:color w:val="FF0000"/>
          <w:sz w:val="21"/>
        </w:rPr>
        <w:t xml:space="preserve"> 【审稿意见：穴位合并存在重复计数问题。原始数据中同一穴位被拆分为多条：ST36（96篇）、Zusanli（86篇）、Sanli（86篇）实为同一穴位；Baihui（24篇）与GV20（20篇）亦为同一穴位。若未完全合并，会导致共现分析结果严重偏倚。】</w:t>
      </w:r>
      <w:r>
        <w:rPr>
          <w:rFonts w:ascii="楷体" w:hAnsi="楷体" w:eastAsia="楷体"/>
          <w:color w:val="FF0000"/>
          <w:sz w:val="21"/>
        </w:rPr>
        <w:t>（建议修改为：穴位名称参照GB/T 12346—2021建立同义词映射表（如ST36=Zusanli=Sanli=足三里；GV20=Baihui=百会），在入库前完成强制性合并，并在文中说明合并规则及合并前后计数对比，确保共现分析基于标准化后的唯一穴位实体。）</w:t>
      </w:r>
    </w:p>
    <w:p/>
    <w:p>
      <w:pPr>
        <w:spacing w:after="80"/>
      </w:pPr>
      <w:r>
        <w:rPr>
          <w:rFonts w:ascii="黑体" w:hAnsi="黑体" w:eastAsia="黑体"/>
          <w:b/>
          <w:sz w:val="24"/>
        </w:rPr>
        <w:t>2.3 共现分析的方法学缺陷（3.5节）</w:t>
      </w:r>
    </w:p>
    <w:p>
      <w:r>
        <w:rPr>
          <w:rFonts w:ascii="宋体" w:hAnsi="宋体" w:eastAsia="宋体"/>
          <w:sz w:val="21"/>
        </w:rPr>
        <w:t>通过共现分析识别穴位与基因的关联强度。足三里-TNF为共现频次最高的穴位-基因对（22次），其次是足三里-IL6（16次）、足三里-AKT（10次）、足三里-PI3K（10次）。</w:t>
      </w:r>
      <w:r>
        <w:rPr>
          <w:rFonts w:ascii="楷体" w:hAnsi="楷体" w:eastAsia="楷体"/>
          <w:b/>
          <w:color w:val="FF0000"/>
          <w:sz w:val="21"/>
        </w:rPr>
        <w:t xml:space="preserve"> 【审稿意见：逻辑跳跃：共现（co-occurrence）仅说明某篇文献中同时提及该穴位和该基因，不等于该穴位“调控”该基因。基因可能在文中作为背景机制、疾病标志物或对照提及。将共现频次直接解读为“关联强度”并推断“穴位刺激可能具有基因调控的相对特异性”，属于方法学上的过度推断。】</w:t>
      </w:r>
      <w:r>
        <w:rPr>
          <w:rFonts w:ascii="楷体" w:hAnsi="楷体" w:eastAsia="楷体"/>
          <w:color w:val="FF0000"/>
          <w:sz w:val="21"/>
        </w:rPr>
        <w:t>（建议修改为：通过共现分析识别穴位与基因在文献中的共现频率（co-occurrence frequency）。需明确：共现频次反映的是研究关注度，而非直接的调控因果关系。为进一步筛选高置信度关联，建议增加以下验证步骤：（1）仅统计基因出现在“结果/结论”段落（而非背景/方法）的共现；（2）对共现频次最高的前50对进行人工抽样复核，确认文中是否明确报告该穴位对该基因有上调/下调作用；（3）在讨论中严格区分“共现关注度”与“实验验证的调控关系”，避免过度解读。）</w:t>
      </w:r>
    </w:p>
    <w:p>
      <w:r>
        <w:rPr>
          <w:rFonts w:ascii="宋体" w:hAnsi="宋体" w:eastAsia="宋体"/>
          <w:sz w:val="21"/>
        </w:rPr>
        <w:t>不同穴位的高频关联基因存在明显差异，初步提示穴位刺激可能具有基因调控的相对特异性。</w:t>
      </w:r>
      <w:r>
        <w:rPr>
          <w:rFonts w:ascii="楷体" w:hAnsi="楷体" w:eastAsia="楷体"/>
          <w:b/>
          <w:color w:val="FF0000"/>
          <w:sz w:val="21"/>
        </w:rPr>
        <w:t xml:space="preserve"> 【审稿意见：同上。此外，许多文献研究的是穴位配伍（如百会+太冲、足三里+三阴交），共现分析无法将配伍效应归因于单个穴位，这会严重高估单穴的特异性。】</w:t>
      </w:r>
      <w:r>
        <w:rPr>
          <w:rFonts w:ascii="楷体" w:hAnsi="楷体" w:eastAsia="楷体"/>
          <w:color w:val="FF0000"/>
          <w:sz w:val="21"/>
        </w:rPr>
        <w:t>（建议修改为：不同穴位的高频关联基因存在明显差异，初步提示研究者在不同穴位方向上关注的分子靶点存在差异；但由于共现分析无法区分单穴效应与配伍效应，且部分文献为配伍取穴（如百会+太冲），故“穴位特异性”的结论需在严格控制配伍因素及采用直接对比实验（穴位vs非穴位、经脉vs非经脉）后方可确立。）</w:t>
      </w:r>
    </w:p>
    <w:p/>
    <w:p>
      <w:pPr>
        <w:spacing w:after="80"/>
      </w:pPr>
      <w:r>
        <w:rPr>
          <w:rFonts w:ascii="黑体" w:hAnsi="黑体" w:eastAsia="黑体"/>
          <w:b/>
          <w:sz w:val="24"/>
        </w:rPr>
        <w:t>2.4 年份数据异常未解释（3.1节）</w:t>
      </w:r>
    </w:p>
    <w:p>
      <w:r>
        <w:rPr>
          <w:rFonts w:ascii="宋体" w:hAnsi="宋体" w:eastAsia="宋体"/>
          <w:sz w:val="21"/>
        </w:rPr>
        <w:t>2024年增至19篇，2025年与2026年（截至4月）分别收录138篇和111篇，近6年文献量占总量的89.5%，表明该领域研究热度正在快速上升。</w:t>
      </w:r>
      <w:r>
        <w:rPr>
          <w:rFonts w:ascii="楷体" w:hAnsi="楷体" w:eastAsia="楷体"/>
          <w:b/>
          <w:color w:val="FF0000"/>
          <w:sz w:val="21"/>
        </w:rPr>
        <w:t xml:space="preserve"> 【审稿意见：数据异常：2026年仅前4个月即收录111篇，折合全年约333篇，较2024年的19篇增长约17倍，这种跃升更可能的原因是：（1）PubMed中大量“Online ahead of print”或“Epub ahead of print”文章被提前标注为2026年；（2）爬虫抓取了未正式分配卷期页码的预发表文献；（3）部分文章的PubMed日期标注为正式在线发表日期而非纸质出版日期。作者未对此异常增长做任何技术解释，直接归因于“研究热度快速上升”，结论缺乏数据支撑。】</w:t>
      </w:r>
      <w:r>
        <w:rPr>
          <w:rFonts w:ascii="楷体" w:hAnsi="楷体" w:eastAsia="楷体"/>
          <w:color w:val="FF0000"/>
          <w:sz w:val="21"/>
        </w:rPr>
        <w:t>（建议修改为：2024年增至19篇，2025年与2026年（截至4月）分别收录138篇和111篇。需注意的是，2026年数据仅覆盖4个月，且PubMed中部分文献为“Online ahead of print”状态，其实际正式出版年份可能滞后。因此，2025—2026年的激增可能部分反映了在线优先出版模式的普及，而非纯粹的文献增量。建议在图1中区分“正式出版年份”与“PubMed收录年份”，或在文中明确标注2025—2026年数据包含Ahead of print文献，并谨慎解读“研究热度上升”的趋势。）</w:t>
      </w:r>
    </w:p>
    <w:p/>
    <w:p>
      <w:pPr>
        <w:spacing w:after="80"/>
      </w:pPr>
      <w:r>
        <w:rPr>
          <w:rFonts w:ascii="黑体" w:hAnsi="黑体" w:eastAsia="黑体"/>
          <w:b/>
          <w:sz w:val="24"/>
        </w:rPr>
        <w:t>2.5 疾病实体分类不当（3.4节）</w:t>
      </w:r>
    </w:p>
    <w:p>
      <w:r>
        <w:rPr>
          <w:rFonts w:ascii="宋体" w:hAnsi="宋体" w:eastAsia="宋体"/>
          <w:sz w:val="21"/>
        </w:rPr>
        <w:t>疾病实体统计结果显示，炎症（127篇）与疼痛（69篇）为研究最集中的两大领域，其次为应激（59篇）、肿瘤（38篇）……</w:t>
      </w:r>
      <w:r>
        <w:rPr>
          <w:rFonts w:ascii="楷体" w:hAnsi="楷体" w:eastAsia="楷体"/>
          <w:b/>
          <w:color w:val="FF0000"/>
          <w:sz w:val="21"/>
        </w:rPr>
        <w:t xml:space="preserve"> 【审稿意见：分类学问题：炎症（inflammation）、疼痛（pain）、应激（stress）属于病理生理过程或症状，而非疾病（disease）。将其与肿瘤、脑卒中、关节炎等真正疾病并列统计，会导致疾病谱分类混乱，影响数据解读。】</w:t>
      </w:r>
      <w:r>
        <w:rPr>
          <w:rFonts w:ascii="楷体" w:hAnsi="楷体" w:eastAsia="楷体"/>
          <w:color w:val="FF0000"/>
          <w:sz w:val="21"/>
        </w:rPr>
        <w:t>（建议修改为：疾病/病理实体统计结果显示，病理过程类（炎症127篇、疼痛69篇、应激59篇）占比较高，其次为疾病类（肿瘤38篇、脑卒中31篇、关节炎30篇……）。建议将“疾病实体”拆分为“疾病（disease）”与“病理过程/症状（pathological process/symptom）”两个层级进行统计，以提高分类的科学性。）</w:t>
      </w:r>
    </w:p>
    <w:p/>
    <w:p>
      <w:pPr>
        <w:spacing w:after="80"/>
      </w:pPr>
      <w:r>
        <w:rPr>
          <w:rFonts w:ascii="黑体" w:hAnsi="黑体" w:eastAsia="黑体"/>
          <w:b/>
          <w:sz w:val="24"/>
        </w:rPr>
        <w:t>2.6 统计方法过于简单</w:t>
      </w:r>
    </w:p>
    <w:p>
      <w:r>
        <w:rPr>
          <w:rFonts w:ascii="宋体" w:hAnsi="宋体" w:eastAsia="宋体"/>
          <w:sz w:val="21"/>
        </w:rPr>
        <w:t>运用Python pandas与collections模块进行频次统计与关联分析，计算穴位-基因共现频率，识别高频关联对。</w:t>
      </w:r>
      <w:r>
        <w:rPr>
          <w:rFonts w:ascii="楷体" w:hAnsi="楷体" w:eastAsia="楷体"/>
          <w:b/>
          <w:color w:val="FF0000"/>
          <w:sz w:val="21"/>
        </w:rPr>
        <w:t xml:space="preserve"> 【审稿意见：作为“数据库+数据挖掘”类论文，仅使用频次统计和共现频率远远不够。审稿人通常会期望看到：网络拓扑分析（度中心性、介数中心性）、聚类分析、富集分析（GO/KEGG）、甚至简单的假设检验（如卡方检验判断某穴位-基因共现是否高于随机期望）。目前的方法学深度不足以支撑一篇数据库类SCI论文的数据挖掘部分。】</w:t>
      </w:r>
      <w:r>
        <w:rPr>
          <w:rFonts w:ascii="楷体" w:hAnsi="楷体" w:eastAsia="楷体"/>
          <w:color w:val="FF0000"/>
          <w:sz w:val="21"/>
        </w:rPr>
        <w:t>（建议修改为：在频次统计与共现分析基础上，进一步开展以下数据挖掘：（1）构建穴位-基因二分网络，计算节点度中心性（degree centrality）与介数中心性（betweenness centrality），识别网络中的核心枢纽节点；（2）对高频穴位关联基因进行KEGG/GO富集分析（使用clusterProfiler或DAVID），揭示功能通路特征；（3）采用超几何分布或卡方检验评估穴位-基因共现是否显著高于随机期望（基于文献总量的背景频率），仅保留统计学显著的关联对进行后续解读；（4）若数据允许，对不同证据等级（实验vs预测）的数据进行分层网络分析。）</w:t>
      </w:r>
    </w:p>
    <w:p/>
    <w:p>
      <w:pPr>
        <w:spacing w:after="120"/>
      </w:pPr>
      <w:r>
        <w:rPr>
          <w:rFonts w:ascii="黑体" w:hAnsi="黑体" w:eastAsia="黑体"/>
          <w:b/>
          <w:sz w:val="28"/>
        </w:rPr>
        <w:t>三、原始数据分析中的具体问题</w:t>
      </w:r>
    </w:p>
    <w:p>
      <w:pPr>
        <w:spacing w:after="80"/>
      </w:pPr>
      <w:r>
        <w:rPr>
          <w:rFonts w:ascii="黑体" w:hAnsi="黑体" w:eastAsia="黑体"/>
          <w:b/>
          <w:sz w:val="24"/>
        </w:rPr>
        <w:t>3.1 文献来源语种矛盾</w:t>
      </w:r>
    </w:p>
    <w:p>
      <w:r>
        <w:rPr>
          <w:rFonts w:ascii="宋体" w:hAnsi="宋体" w:eastAsia="宋体"/>
          <w:sz w:val="21"/>
        </w:rPr>
        <w:t>纳入标准：……（3）语种为英文。</w:t>
      </w:r>
      <w:r>
        <w:rPr>
          <w:rFonts w:ascii="楷体" w:hAnsi="楷体" w:eastAsia="楷体"/>
          <w:b/>
          <w:color w:val="FF0000"/>
          <w:sz w:val="21"/>
        </w:rPr>
        <w:t xml:space="preserve"> 【审稿意见：与后文矛盾。3.1节称文献来源期刊以《针刺研究》《中国针灸》为主，但这些是中文期刊。若纳入文献语种确实为英文，则应说明这些期刊同时发表英文文章；若实际纳入了中文文献，则纳入标准应修改。】</w:t>
      </w:r>
      <w:r>
        <w:rPr>
          <w:rFonts w:ascii="楷体" w:hAnsi="楷体" w:eastAsia="楷体"/>
          <w:color w:val="FF0000"/>
          <w:sz w:val="21"/>
        </w:rPr>
        <w:t>（建议修改为：纳入标准：……（3）语种为英文（含中文期刊发表的英文论文）。并在方法部分补充说明：本研究纳入的《针刺研究》《中国针灸》等期刊论文均为其英文版或英文在线发表文章，以确保与纳入标准一致。）</w:t>
      </w:r>
    </w:p>
    <w:p/>
    <w:p>
      <w:pPr>
        <w:spacing w:after="80"/>
      </w:pPr>
      <w:r>
        <w:rPr>
          <w:rFonts w:ascii="黑体" w:hAnsi="黑体" w:eastAsia="黑体"/>
          <w:b/>
          <w:sz w:val="24"/>
        </w:rPr>
        <w:t>3.2 高频基因列表中的错误实体</w:t>
      </w:r>
    </w:p>
    <w:p>
      <w:r>
        <w:rPr>
          <w:rFonts w:ascii="宋体" w:hAnsi="宋体" w:eastAsia="宋体"/>
          <w:sz w:val="21"/>
        </w:rPr>
        <w:t>根据原始数据（summary.json及genes.csv），以下实体被错误地纳入“基因”统计，请务必核对并剔除：</w:t>
      </w:r>
    </w:p>
    <w:p>
      <w:pPr>
        <w:pStyle w:val="ListBullet"/>
      </w:pPr>
      <w:r>
        <w:rPr>
          <w:rFonts w:ascii="宋体" w:hAnsi="宋体" w:eastAsia="宋体"/>
          <w:b/>
          <w:color w:val="FF0000"/>
          <w:sz w:val="21"/>
        </w:rPr>
        <w:t>METABOLOMIC</w:t>
      </w:r>
      <w:r>
        <w:rPr>
          <w:rFonts w:ascii="宋体" w:hAnsi="宋体" w:eastAsia="宋体"/>
          <w:sz w:val="21"/>
        </w:rPr>
        <w:t>——代谢组学，为技术方法术语</w:t>
      </w:r>
    </w:p>
    <w:p>
      <w:pPr>
        <w:pStyle w:val="ListBullet"/>
      </w:pPr>
      <w:r>
        <w:rPr>
          <w:rFonts w:ascii="宋体" w:hAnsi="宋体" w:eastAsia="宋体"/>
          <w:b/>
          <w:color w:val="FF0000"/>
          <w:sz w:val="21"/>
        </w:rPr>
        <w:t>POSTOPERATIVE</w:t>
      </w:r>
      <w:r>
        <w:rPr>
          <w:rFonts w:ascii="宋体" w:hAnsi="宋体" w:eastAsia="宋体"/>
          <w:sz w:val="21"/>
        </w:rPr>
        <w:t>——术后的，为临床状态描述词</w:t>
      </w:r>
    </w:p>
    <w:p>
      <w:pPr>
        <w:pStyle w:val="ListBullet"/>
      </w:pPr>
      <w:r>
        <w:rPr>
          <w:rFonts w:ascii="宋体" w:hAnsi="宋体" w:eastAsia="宋体"/>
          <w:b/>
          <w:color w:val="FF0000"/>
          <w:sz w:val="21"/>
        </w:rPr>
        <w:t>WEB</w:t>
      </w:r>
      <w:r>
        <w:rPr>
          <w:rFonts w:ascii="宋体" w:hAnsi="宋体" w:eastAsia="宋体"/>
          <w:sz w:val="21"/>
        </w:rPr>
        <w:t>——网络，非基因</w:t>
      </w:r>
    </w:p>
    <w:p>
      <w:pPr>
        <w:pStyle w:val="ListBullet"/>
      </w:pPr>
      <w:r>
        <w:rPr>
          <w:rFonts w:ascii="宋体" w:hAnsi="宋体" w:eastAsia="宋体"/>
          <w:b/>
          <w:color w:val="FF0000"/>
          <w:sz w:val="21"/>
        </w:rPr>
        <w:t>STROKE</w:t>
      </w:r>
      <w:r>
        <w:rPr>
          <w:rFonts w:ascii="宋体" w:hAnsi="宋体" w:eastAsia="宋体"/>
          <w:sz w:val="21"/>
        </w:rPr>
        <w:t>——脑卒中，为疾病名</w:t>
      </w:r>
    </w:p>
    <w:p>
      <w:pPr>
        <w:pStyle w:val="ListBullet"/>
      </w:pPr>
      <w:r>
        <w:rPr>
          <w:rFonts w:ascii="宋体" w:hAnsi="宋体" w:eastAsia="宋体"/>
          <w:b/>
          <w:color w:val="FF0000"/>
          <w:sz w:val="21"/>
        </w:rPr>
        <w:t>SYNDROME</w:t>
      </w:r>
      <w:r>
        <w:rPr>
          <w:rFonts w:ascii="宋体" w:hAnsi="宋体" w:eastAsia="宋体"/>
          <w:sz w:val="21"/>
        </w:rPr>
        <w:t>——综合征，为疾病/症状名</w:t>
      </w:r>
    </w:p>
    <w:p>
      <w:pPr>
        <w:pStyle w:val="ListBullet"/>
      </w:pPr>
      <w:r>
        <w:rPr>
          <w:rFonts w:ascii="宋体" w:hAnsi="宋体" w:eastAsia="宋体"/>
          <w:b/>
          <w:color w:val="FF0000"/>
          <w:sz w:val="21"/>
        </w:rPr>
        <w:t>PROFILING</w:t>
      </w:r>
      <w:r>
        <w:rPr>
          <w:rFonts w:ascii="宋体" w:hAnsi="宋体" w:eastAsia="宋体"/>
          <w:sz w:val="21"/>
        </w:rPr>
        <w:t>——分析技术术语</w:t>
      </w:r>
    </w:p>
    <w:p>
      <w:pPr>
        <w:pStyle w:val="ListBullet"/>
      </w:pPr>
      <w:r>
        <w:rPr>
          <w:rFonts w:ascii="宋体" w:hAnsi="宋体" w:eastAsia="宋体"/>
          <w:b/>
          <w:color w:val="FF0000"/>
          <w:sz w:val="21"/>
        </w:rPr>
        <w:t>IVF</w:t>
      </w:r>
      <w:r>
        <w:rPr>
          <w:rFonts w:ascii="宋体" w:hAnsi="宋体" w:eastAsia="宋体"/>
          <w:sz w:val="21"/>
        </w:rPr>
        <w:t>——体外受精，为临床操作缩写</w:t>
      </w:r>
    </w:p>
    <w:p>
      <w:pPr>
        <w:pStyle w:val="ListBullet"/>
      </w:pPr>
      <w:r>
        <w:rPr>
          <w:rFonts w:ascii="宋体" w:hAnsi="宋体" w:eastAsia="宋体"/>
          <w:b/>
          <w:color w:val="FF0000"/>
          <w:sz w:val="21"/>
        </w:rPr>
        <w:t>SPINAL</w:t>
      </w:r>
      <w:r>
        <w:rPr>
          <w:rFonts w:ascii="宋体" w:hAnsi="宋体" w:eastAsia="宋体"/>
          <w:sz w:val="21"/>
        </w:rPr>
        <w:t>——脊柱的，为解剖形容词</w:t>
      </w:r>
    </w:p>
    <w:p>
      <w:pPr>
        <w:pStyle w:val="ListBullet"/>
      </w:pPr>
      <w:r>
        <w:rPr>
          <w:rFonts w:ascii="宋体" w:hAnsi="宋体" w:eastAsia="宋体"/>
          <w:b/>
          <w:color w:val="FF0000"/>
          <w:sz w:val="21"/>
        </w:rPr>
        <w:t>HOMA</w:t>
      </w:r>
      <w:r>
        <w:rPr>
          <w:rFonts w:ascii="宋体" w:hAnsi="宋体" w:eastAsia="宋体"/>
          <w:sz w:val="21"/>
        </w:rPr>
        <w:t>——稳态模型评估，为计算公式缩写</w:t>
      </w:r>
    </w:p>
    <w:p>
      <w:pPr>
        <w:pStyle w:val="ListBullet"/>
      </w:pPr>
      <w:r>
        <w:rPr>
          <w:rFonts w:ascii="宋体" w:hAnsi="宋体" w:eastAsia="宋体"/>
          <w:b/>
          <w:color w:val="FF0000"/>
          <w:sz w:val="21"/>
        </w:rPr>
        <w:t>TRIAL</w:t>
      </w:r>
      <w:r>
        <w:rPr>
          <w:rFonts w:ascii="宋体" w:hAnsi="宋体" w:eastAsia="宋体"/>
          <w:sz w:val="21"/>
        </w:rPr>
        <w:t>——试验，为研究类型词</w:t>
      </w:r>
    </w:p>
    <w:p>
      <w:pPr>
        <w:pStyle w:val="ListBullet"/>
      </w:pPr>
      <w:r>
        <w:rPr>
          <w:rFonts w:ascii="宋体" w:hAnsi="宋体" w:eastAsia="宋体"/>
          <w:b/>
          <w:color w:val="FF0000"/>
          <w:sz w:val="21"/>
        </w:rPr>
        <w:t>NOD</w:t>
      </w:r>
      <w:r>
        <w:rPr>
          <w:rFonts w:ascii="宋体" w:hAnsi="宋体" w:eastAsia="宋体"/>
          <w:sz w:val="21"/>
        </w:rPr>
        <w:t>——结节，为病理描述词</w:t>
      </w:r>
    </w:p>
    <w:p>
      <w:pPr>
        <w:pStyle w:val="ListBullet"/>
      </w:pPr>
      <w:r>
        <w:rPr>
          <w:rFonts w:ascii="宋体" w:hAnsi="宋体" w:eastAsia="宋体"/>
          <w:b/>
          <w:color w:val="FF0000"/>
          <w:sz w:val="21"/>
        </w:rPr>
        <w:t>ECM</w:t>
      </w:r>
      <w:r>
        <w:rPr>
          <w:rFonts w:ascii="宋体" w:hAnsi="宋体" w:eastAsia="宋体"/>
          <w:sz w:val="21"/>
        </w:rPr>
        <w:t>——细胞外基质，为组织结构名称，非单一基因</w:t>
      </w:r>
    </w:p>
    <w:p>
      <w:pPr>
        <w:pStyle w:val="ListBullet"/>
      </w:pPr>
      <w:r>
        <w:rPr>
          <w:rFonts w:ascii="宋体" w:hAnsi="宋体" w:eastAsia="宋体"/>
          <w:b/>
          <w:color w:val="FF0000"/>
          <w:sz w:val="21"/>
        </w:rPr>
        <w:t>PI3K</w:t>
      </w:r>
      <w:r>
        <w:rPr>
          <w:rFonts w:ascii="宋体" w:hAnsi="宋体" w:eastAsia="宋体"/>
          <w:sz w:val="21"/>
        </w:rPr>
        <w:t>——磷脂酰肌醇3-激酶家族，非单一基因，应拆分为PIK3CA、PIK3CB等或标注为通路</w:t>
      </w:r>
    </w:p>
    <w:p>
      <w:pPr>
        <w:pStyle w:val="ListBullet"/>
      </w:pPr>
      <w:r>
        <w:rPr>
          <w:rFonts w:ascii="宋体" w:hAnsi="宋体" w:eastAsia="宋体"/>
          <w:b/>
          <w:color w:val="FF0000"/>
          <w:sz w:val="21"/>
        </w:rPr>
        <w:t>AKT</w:t>
      </w:r>
      <w:r>
        <w:rPr>
          <w:rFonts w:ascii="宋体" w:hAnsi="宋体" w:eastAsia="宋体"/>
          <w:sz w:val="21"/>
        </w:rPr>
        <w:t>——蛋白激酶B家族，非单一基因，应拆分为AKT1、AKT2、AKT3</w:t>
      </w:r>
    </w:p>
    <w:p>
      <w:pPr>
        <w:pStyle w:val="ListBullet"/>
      </w:pPr>
      <w:r>
        <w:rPr>
          <w:rFonts w:ascii="宋体" w:hAnsi="宋体" w:eastAsia="宋体"/>
          <w:b/>
          <w:color w:val="FF0000"/>
          <w:sz w:val="21"/>
        </w:rPr>
        <w:t>MAPK</w:t>
      </w:r>
      <w:r>
        <w:rPr>
          <w:rFonts w:ascii="宋体" w:hAnsi="宋体" w:eastAsia="宋体"/>
          <w:sz w:val="21"/>
        </w:rPr>
        <w:t>——丝裂原活化蛋白激酶家族，非单一基因，应拆分为MAPK1、MAPK3等</w:t>
      </w:r>
    </w:p>
    <w:p>
      <w:pPr>
        <w:pStyle w:val="ListBullet"/>
      </w:pPr>
      <w:r>
        <w:rPr>
          <w:rFonts w:ascii="宋体" w:hAnsi="宋体" w:eastAsia="宋体"/>
          <w:b/>
          <w:color w:val="FF0000"/>
          <w:sz w:val="21"/>
        </w:rPr>
        <w:t>LC3</w:t>
      </w:r>
      <w:r>
        <w:rPr>
          <w:rFonts w:ascii="宋体" w:hAnsi="宋体" w:eastAsia="宋体"/>
          <w:sz w:val="21"/>
        </w:rPr>
        <w:t>——非官方基因符号，官方为MAP1LC3A、MAP1LC3B、MAP1LC3C</w:t>
      </w:r>
    </w:p>
    <w:p>
      <w:pPr>
        <w:pStyle w:val="ListBullet"/>
      </w:pPr>
      <w:r>
        <w:rPr>
          <w:rFonts w:ascii="宋体" w:hAnsi="宋体" w:eastAsia="宋体"/>
          <w:b/>
          <w:color w:val="FF0000"/>
          <w:sz w:val="21"/>
        </w:rPr>
        <w:t>BECLIN</w:t>
      </w:r>
      <w:r>
        <w:rPr>
          <w:rFonts w:ascii="宋体" w:hAnsi="宋体" w:eastAsia="宋体"/>
          <w:sz w:val="21"/>
        </w:rPr>
        <w:t>——非官方基因符号，官方为BECN1</w:t>
      </w:r>
    </w:p>
    <w:p/>
    <w:p>
      <w:pPr>
        <w:spacing w:after="80"/>
      </w:pPr>
      <w:r>
        <w:rPr>
          <w:rFonts w:ascii="黑体" w:hAnsi="黑体" w:eastAsia="黑体"/>
          <w:b/>
          <w:sz w:val="24"/>
        </w:rPr>
        <w:t>3.3 穴位重复计数问题（原始数据层面）</w:t>
      </w:r>
    </w:p>
    <w:p>
      <w:r>
        <w:rPr>
          <w:rFonts w:ascii="宋体" w:hAnsi="宋体" w:eastAsia="宋体"/>
          <w:sz w:val="21"/>
        </w:rPr>
        <w:t>原始数据（summary.json）显示以下同一穴位的不同名称未被合并，导致共现分析的分母和分子均可能失真：</w:t>
      </w:r>
    </w:p>
    <w:p>
      <w:pPr>
        <w:pStyle w:val="ListBullet"/>
      </w:pPr>
      <w:r>
        <w:rPr>
          <w:rFonts w:ascii="宋体" w:hAnsi="宋体" w:eastAsia="宋体"/>
          <w:color w:val="FF0000"/>
          <w:sz w:val="21"/>
        </w:rPr>
        <w:t>ST36（96次）、Zusanli（86次）、Sanli（86次）→ 均为足三里</w:t>
      </w:r>
    </w:p>
    <w:p>
      <w:pPr>
        <w:pStyle w:val="ListBullet"/>
      </w:pPr>
      <w:r>
        <w:rPr>
          <w:rFonts w:ascii="宋体" w:hAnsi="宋体" w:eastAsia="宋体"/>
          <w:color w:val="FF0000"/>
          <w:sz w:val="21"/>
        </w:rPr>
        <w:t>Baihui（24次）、GV20（20次）→ 均为百会</w:t>
      </w:r>
    </w:p>
    <w:p>
      <w:pPr>
        <w:pStyle w:val="ListBullet"/>
      </w:pPr>
      <w:r>
        <w:rPr>
          <w:rFonts w:ascii="宋体" w:hAnsi="宋体" w:eastAsia="宋体"/>
          <w:color w:val="FF0000"/>
          <w:sz w:val="21"/>
        </w:rPr>
        <w:t>Sanyinjiao（15次）、SP6（18次）→ 均为三阴交</w:t>
      </w:r>
    </w:p>
    <w:p>
      <w:pPr>
        <w:pStyle w:val="ListBullet"/>
      </w:pPr>
      <w:r>
        <w:rPr>
          <w:rFonts w:ascii="宋体" w:hAnsi="宋体" w:eastAsia="宋体"/>
          <w:color w:val="FF0000"/>
          <w:sz w:val="21"/>
        </w:rPr>
        <w:t>Guanyuan（16次）、CV4（15次）→ 均为关元</w:t>
      </w:r>
    </w:p>
    <w:p>
      <w:pPr>
        <w:pStyle w:val="ListBullet"/>
      </w:pPr>
      <w:r>
        <w:rPr>
          <w:rFonts w:ascii="宋体" w:hAnsi="宋体" w:eastAsia="宋体"/>
          <w:color w:val="FF0000"/>
          <w:sz w:val="21"/>
        </w:rPr>
        <w:t>Neiguan（17次）、PC6（17次）→ 均为内关</w:t>
      </w:r>
    </w:p>
    <w:p>
      <w:pPr>
        <w:pStyle w:val="ListBullet"/>
      </w:pPr>
      <w:r>
        <w:rPr>
          <w:rFonts w:ascii="宋体" w:hAnsi="宋体" w:eastAsia="宋体"/>
          <w:color w:val="FF0000"/>
          <w:sz w:val="21"/>
        </w:rPr>
        <w:t>Shenshu（10次）、BL23（10次）→ 均为肾俞</w:t>
      </w:r>
    </w:p>
    <w:p>
      <w:pPr>
        <w:pStyle w:val="ListBullet"/>
      </w:pPr>
      <w:r>
        <w:rPr>
          <w:rFonts w:ascii="宋体" w:hAnsi="宋体" w:eastAsia="宋体"/>
          <w:color w:val="FF0000"/>
          <w:sz w:val="21"/>
        </w:rPr>
        <w:t>Taichong（7次）、LR3（10次）→ 均为太冲</w:t>
      </w:r>
    </w:p>
    <w:p>
      <w:r>
        <w:rPr>
          <w:rFonts w:ascii="楷体" w:hAnsi="楷体" w:eastAsia="楷体"/>
          <w:color w:val="FF0000"/>
          <w:sz w:val="21"/>
        </w:rPr>
        <w:t>（建议修改：建立同义词映射字典，在数据入库前强制执行合并，并在论文附表中提供“原始提取名称→标准名称”的对照表，以增强数据透明度。）</w:t>
      </w:r>
    </w:p>
    <w:p/>
    <w:p>
      <w:pPr>
        <w:spacing w:after="80"/>
      </w:pPr>
      <w:r>
        <w:rPr>
          <w:rFonts w:ascii="黑体" w:hAnsi="黑体" w:eastAsia="黑体"/>
          <w:b/>
          <w:sz w:val="24"/>
        </w:rPr>
        <w:t>3.4 2025—2026年数据的完整性问题</w:t>
      </w:r>
    </w:p>
    <w:p>
      <w:r>
        <w:rPr>
          <w:rFonts w:ascii="宋体" w:hAnsi="宋体" w:eastAsia="宋体"/>
          <w:sz w:val="21"/>
        </w:rPr>
        <w:t>数据库共收录符合纳入标准的文献344篇。</w:t>
      </w:r>
      <w:r>
        <w:rPr>
          <w:rFonts w:ascii="楷体" w:hAnsi="楷体" w:eastAsia="楷体"/>
          <w:b/>
          <w:color w:val="FF0000"/>
          <w:sz w:val="21"/>
        </w:rPr>
        <w:t xml:space="preserve"> 【审稿意见：从年份分布看，2010—2024年共收录95篇，2025年收录138篇，2026年（1—4月）收录111篇。2025—2026年合计249篇，占总量的72.4%。若2026年数据仅为前4个月的收录量，则全年预期量将远超历史总和，这一极端不平衡提示：（1）爬虫可能重复抓取了同一篇文献的多个版本（如Epub和正式版）；（2）可能纳入了大量Meeting abstract或Letter；（3）2025—2026年的 Ahead of print 文章可能在后续被重新分配至更早年份或更晚年份，导致当前年份标签不稳定。】</w:t>
      </w:r>
      <w:r>
        <w:rPr>
          <w:rFonts w:ascii="楷体" w:hAnsi="楷体" w:eastAsia="楷体"/>
          <w:color w:val="FF0000"/>
          <w:sz w:val="21"/>
        </w:rPr>
        <w:t>（建议修改为：数据库共收录符合纳入标准的文献344篇（截至2026年4月）。其中2025—2026年数据包含大量Online ahead of print文献，其正式出版年份可能后续调整；同时，已对重复版本（Epub与正式版）进行去重处理，并排除了Meeting abstract和Letter类文献。建议在数据库中增加“出版状态”字段（正式出版/Epub ahead of print），并在趋势分析中以“正式出版年份”为主进行绘图，以提高时间序列的可靠性。）</w:t>
      </w:r>
    </w:p>
    <w:p/>
    <w:p>
      <w:pPr>
        <w:spacing w:after="120"/>
      </w:pPr>
      <w:r>
        <w:rPr>
          <w:rFonts w:ascii="黑体" w:hAnsi="黑体" w:eastAsia="黑体"/>
          <w:b/>
          <w:sz w:val="28"/>
        </w:rPr>
        <w:t>四、其他需修改的细节</w:t>
      </w:r>
    </w:p>
    <w:p>
      <w:r>
        <w:rPr>
          <w:rFonts w:ascii="宋体" w:hAnsi="宋体" w:eastAsia="宋体"/>
          <w:sz w:val="21"/>
        </w:rPr>
        <w:t>本研究构建了首个面向针灸穴位-基因关联的文献数据库。</w:t>
      </w:r>
      <w:r>
        <w:rPr>
          <w:rFonts w:ascii="楷体" w:hAnsi="楷体" w:eastAsia="楷体"/>
          <w:b/>
          <w:color w:val="FF0000"/>
          <w:sz w:val="21"/>
        </w:rPr>
        <w:t xml:space="preserve"> 【审稿意见：“首个”表述风险极高。若审稿人检索到已有类似数据库（即使功能不完全相同），可能直接拒稿。建议弱化此表述，突出本数据库的特色（如文本挖掘方法、特定时间跨度、穴位标准化策略等），而非绝对意义上的“首个”。】</w:t>
      </w:r>
      <w:r>
        <w:rPr>
          <w:rFonts w:ascii="楷体" w:hAnsi="楷体" w:eastAsia="楷体"/>
          <w:color w:val="FF0000"/>
          <w:sz w:val="21"/>
        </w:rPr>
        <w:t>（建议修改为：本研究构建了一个面向针灸穴位-基因关联的文献整合数据库，采用文本挖掘与GB/T 12346—2021标准化策略，对2010—2026年PubMed文献进行系统整合。）</w:t>
      </w:r>
    </w:p>
    <w:p>
      <w:r>
        <w:rPr>
          <w:rFonts w:ascii="宋体" w:hAnsi="宋体" w:eastAsia="宋体"/>
          <w:sz w:val="21"/>
        </w:rPr>
        <w:t>文献来源期刊以《针刺研究》（Zhen ci yan jiu）、《中国针灸》（Zhongguo zhen jiu）、Chinese Medicine、Evidence-based Complementary and Alternative Medicine等为主。</w:t>
      </w:r>
      <w:r>
        <w:rPr>
          <w:rFonts w:ascii="楷体" w:hAnsi="楷体" w:eastAsia="楷体"/>
          <w:b/>
          <w:color w:val="FF0000"/>
          <w:sz w:val="21"/>
        </w:rPr>
        <w:t xml:space="preserve"> 【审稿意见：未提供具体的期刊分布数据（如各期刊占比、影响因子分布），且未讨论是否存在期刊偏倚（如某些期刊更倾向于发表阳性结果）。】</w:t>
      </w:r>
      <w:r>
        <w:rPr>
          <w:rFonts w:ascii="楷体" w:hAnsi="楷体" w:eastAsia="楷体"/>
          <w:color w:val="FF0000"/>
          <w:sz w:val="21"/>
        </w:rPr>
        <w:t>（建议修改为：文献来源期刊以《针刺研究》（Zhen ci yan jiu，占比约XX%）、《中国针灸》（Zhongguo zhen jiu，约XX%）、Chinese Medicine、Evidence-based Complementary and Alternative Medicine等为主。需补充期刊分布表，并讨论潜在发表偏倚：阳性结果（发现显著差异表达基因）更易在高影响因子期刊发表，而阴性结果可能未被收录，导致数据库中关联强度被高估。）</w:t>
      </w:r>
    </w:p>
    <w:p>
      <w:r>
        <w:rPr>
          <w:rFonts w:ascii="宋体" w:hAnsi="宋体" w:eastAsia="宋体"/>
          <w:sz w:val="21"/>
        </w:rPr>
        <w:t>第四，部分高频实体（如COA、TG）是否为准确的基因符号尚需人工复核。</w:t>
      </w:r>
      <w:r>
        <w:rPr>
          <w:rFonts w:ascii="楷体" w:hAnsi="楷体" w:eastAsia="楷体"/>
          <w:b/>
          <w:color w:val="FF0000"/>
          <w:sz w:val="21"/>
        </w:rPr>
        <w:t xml:space="preserve"> 【审稿意见：讨论中仅提及COA、TG，但实际上问题远比这严重（见上文17个错误实体列表）。作者对数据质量问题的认识不足，会严重影响审稿人对研究可信度的判断。】</w:t>
      </w:r>
      <w:r>
        <w:rPr>
          <w:rFonts w:ascii="楷体" w:hAnsi="楷体" w:eastAsia="楷体"/>
          <w:color w:val="FF0000"/>
          <w:sz w:val="21"/>
        </w:rPr>
        <w:t>（建议修改为：第四，文本挖掘后的数据清洗存在明显不足：部分高频实体（如METABOLOMIC、POSTOPERATIVE、STROKE、SYNDROME等）并非基因符号；部分家族性名称（PI3K、AKT、MAPK）未拆分为具体基因；部分非官方符号（LC3、BECLIN）未映射至标准符号。这些问题对共现分析结果的可信度构成实质性影响，后续将通过NCBI Gene API批量校验与人工复核相结合的方式全面提升数据质量。）</w:t>
      </w:r>
    </w:p>
    <w:p/>
    <w:p>
      <w:pPr>
        <w:spacing w:after="120"/>
      </w:pPr>
      <w:r>
        <w:rPr>
          <w:rFonts w:ascii="黑体" w:hAnsi="黑体" w:eastAsia="黑体"/>
          <w:b/>
          <w:sz w:val="28"/>
        </w:rPr>
        <w:t>五、修改优先级建议</w:t>
      </w:r>
    </w:p>
    <w:p>
      <w:r>
        <w:rPr>
          <w:rFonts w:ascii="黑体" w:hAnsi="黑体" w:eastAsia="黑体"/>
          <w:b/>
          <w:color w:val="FF0000"/>
          <w:sz w:val="21"/>
        </w:rPr>
        <w:t>【优先1·必改】</w:t>
      </w:r>
      <w:r>
        <w:rPr>
          <w:rFonts w:ascii="宋体" w:hAnsi="宋体" w:eastAsia="宋体"/>
          <w:sz w:val="21"/>
        </w:rPr>
        <w:t>修正基因实体识别错误，剔除非基因实体，拆分基因家族/通路名，映射非官方符号至HGNC标准符号。这是数据可信度的底线。</w:t>
      </w:r>
    </w:p>
    <w:p>
      <w:r>
        <w:rPr>
          <w:rFonts w:ascii="黑体" w:hAnsi="黑体" w:eastAsia="黑体"/>
          <w:b/>
          <w:color w:val="FF0000"/>
          <w:sz w:val="21"/>
        </w:rPr>
        <w:t>【优先1·必改】</w:t>
      </w:r>
      <w:r>
        <w:rPr>
          <w:rFonts w:ascii="宋体" w:hAnsi="宋体" w:eastAsia="宋体"/>
          <w:sz w:val="21"/>
        </w:rPr>
        <w:t>修正穴位同义词合并问题，确保ST36/Zusanli/Sanli等同一穴位的不同表述被完全合并。</w:t>
      </w:r>
    </w:p>
    <w:p>
      <w:r>
        <w:rPr>
          <w:rFonts w:ascii="黑体" w:hAnsi="黑体" w:eastAsia="黑体"/>
          <w:b/>
          <w:color w:val="FF0000"/>
          <w:sz w:val="21"/>
        </w:rPr>
        <w:t>【优先2·重要】</w:t>
      </w:r>
      <w:r>
        <w:rPr>
          <w:rFonts w:ascii="宋体" w:hAnsi="宋体" w:eastAsia="宋体"/>
          <w:sz w:val="21"/>
        </w:rPr>
        <w:t>对2025—2026年数据异常增长进行技术解释，区分正式出版与Ahead of print，避免过度解读趋势。</w:t>
      </w:r>
    </w:p>
    <w:p>
      <w:r>
        <w:rPr>
          <w:rFonts w:ascii="黑体" w:hAnsi="黑体" w:eastAsia="黑体"/>
          <w:b/>
          <w:color w:val="FF0000"/>
          <w:sz w:val="21"/>
        </w:rPr>
        <w:t>【优先2·重要】</w:t>
      </w:r>
      <w:r>
        <w:rPr>
          <w:rFonts w:ascii="宋体" w:hAnsi="宋体" w:eastAsia="宋体"/>
          <w:sz w:val="21"/>
        </w:rPr>
        <w:t>在共现分析中增加“共现≠调控”的方法学声明，避免从共现频次直接推断穴位特异性。</w:t>
      </w:r>
    </w:p>
    <w:p>
      <w:r>
        <w:rPr>
          <w:rFonts w:ascii="黑体" w:hAnsi="黑体" w:eastAsia="黑体"/>
          <w:b/>
          <w:color w:val="FF0000"/>
          <w:sz w:val="21"/>
        </w:rPr>
        <w:t>【优先3·建议】</w:t>
      </w:r>
      <w:r>
        <w:rPr>
          <w:rFonts w:ascii="宋体" w:hAnsi="宋体" w:eastAsia="宋体"/>
          <w:sz w:val="21"/>
        </w:rPr>
        <w:t>增加网络拓扑分析、富集分析、超几何检验等更深入的数据挖掘方法，提升论文的方法学深度。</w:t>
      </w:r>
    </w:p>
    <w:p>
      <w:r>
        <w:rPr>
          <w:rFonts w:ascii="黑体" w:hAnsi="黑体" w:eastAsia="黑体"/>
          <w:b/>
          <w:color w:val="FF0000"/>
          <w:sz w:val="21"/>
        </w:rPr>
        <w:t>【优先3·建议】</w:t>
      </w:r>
      <w:r>
        <w:rPr>
          <w:rFonts w:ascii="宋体" w:hAnsi="宋体" w:eastAsia="宋体"/>
          <w:sz w:val="21"/>
        </w:rPr>
        <w:t>将“网络药理学研究”单独分层，或从核心数据库中剔除，避免预测性数据与实验数据混杂。</w:t>
      </w:r>
    </w:p>
    <w:p/>
    <w:p>
      <w:pPr>
        <w:spacing w:after="120"/>
      </w:pPr>
      <w:r>
        <w:rPr>
          <w:rFonts w:ascii="黑体" w:hAnsi="黑体" w:eastAsia="黑体"/>
          <w:b/>
          <w:sz w:val="28"/>
        </w:rPr>
        <w:t>六、审稿结语</w:t>
      </w:r>
    </w:p>
    <w:p>
      <w:r>
        <w:rPr>
          <w:rFonts w:ascii="宋体" w:hAnsi="宋体" w:eastAsia="宋体"/>
          <w:sz w:val="21"/>
        </w:rPr>
        <w:t>本文选题具有实际应用价值，数据库构建的思路清晰。但目前在原始数据清洗、实体标准化、统计推断逻辑三个核心环节存在较为集中的问题。建议作者针对上述意见进行大修，特别是优先完成基因实体和穴位实体的校验与修正工作。若能在修订稿中提供更严格的数据质量控制流程、更深入的统计分析方法，并对2025—2026年数据异常给出合理解释，本文将具备较好的发表潜力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