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 Even molecular targeted drugs such as Dabrafenib, Trametinib, Selpercatinib, and Pralsetinib have limited practical use because of their high cost and uncertain long-term effectiveness [4-5]. Therefore, it is essential to actively pursue effective treatments for thyroid cancer and investigate the underlying regulatory mechanisms.</w:t>
      </w:r>
    </w:p>
    <w:p w14:paraId="547A90B7">
      <w:pPr>
        <w:pStyle w:val="7"/>
        <w:spacing w:line="360" w:lineRule="auto"/>
      </w:pPr>
      <w:r>
        <w:rPr>
          <w:rFonts w:ascii="Times New Roman" w:hAnsi="Times New Roman" w:eastAsia="Times New Roman"/>
          <w:b w:val="0"/>
          <w:color w:val="FF69B4"/>
          <w:sz w:val="22"/>
        </w:rP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 [6].</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[7].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[8]. Network pharmacology analyses of Zhe Bei Mu have identified 2,357 disease-related targets and 96 core targets linked to thyroid cancer, including key genes such as NPM1, HSPA5, and HDAC5 .</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[9].</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[10]. The chemical identifiers (CIDs) for these metabolites were retrieved from PubChem [11]. Using these CIDs, gene information for the metabolites was collected from the MetaBat, BindingDB, and Guide to Pharmacology databases [12]. GeneCards was also used to obtain genes associated with thyroid cancer [13].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[14]. The enriched biological processes, pathways, and functions linked to thyroid cancer and metabolites were visualized based on these results (Figures 3 and 4). Significantly enriched terms were identified using a significance threshold of p &lt; 0.05 [15]. The SMILES data derived from CIDs were converted into Structure Data Format (SDF) files using Open Babel for molecular docking experiments [16]. These SDF files were used as ligand inputs for docking simulations. Protein structures corresponding to the intersecting genes were retrieved from the Protein Data Bank (PDB) through the RCSB website [17]. The binding affinities between metabolites and target proteins were predicted using AutoDock Vina [18].</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[19].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[20].</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[21]. These ion channels are also widely present in vascular endothelial cells; calcium-regulating proteins can modulate calcium ion influx from these channels into endothelial cells, subsequently regulating tumor angiogenesis [22].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[23]. Recent studies have used nanomaterials to induce apoptosis for anti-tumor benefits [24].</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[25]. CYP3A4 expression is regulated by several signaling mechanisms. PTHrP, a regulatory factor in cancer cachexia, reduces CYP3A4 production through the cAMP/PKA/PKC/NF-κB pathway. Inhibiting these pathways can restore this suppression [26].</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b w:val="0"/>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(Bao et al., 2022), suppress proliferation and migration through the PI3K/Akt/HIF-1α pathway in non-small cell lung cancer (Cao et al., 2024), and trigger cell cycle arrest and apoptotic death in leukemia cells (Moon et al., 2008). A comprehensive review further summarized that β-sitosterol exerts broad-spectrum anti-tumor effects against breast, gastric, lung, prostate, and colorectal cancers through diverse mechanisms including pro-apoptotic, anti-proliferative, and anti-metastatic actions (Nandi et al., 2024).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(Chen et al., 2024).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[27]. Keap1/Nrf2 signaling is involved in both benign and malignant thyroid disorders and can serve as a prognostic indicator or therapeutic target [28]. The activation of MAPK signaling is closely associated with several forms of thyroid malignancy, notably papillary thyroid carcinoma (PTC) and follicular thyroid carcinoma (FTC), making MAPK and PI3K pathways key activation mechanisms in thyroid tumorigenesis [29].</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spacing w:line="360" w:lineRule="auto"/>
        <w:rPr>
          <w:rFonts w:cs="Arial"/>
        </w:rPr>
      </w:pPr>
      <w:r>
        <w:rPr>
          <w:rFonts w:ascii="Times New Roman" w:hAnsi="Times New Roman" w:eastAsia="Times New Roman"/>
          <w:b w:val="0"/>
          <w:color w:val="FF69B4"/>
          <w:sz w:val="22"/>
        </w:rPr>
        <w:t>Haugen BR, Alexander EK, Bible KC, Doherty GM, Mandel SJ, Nikiforov YE, et al. 2015 American Thyroid Association Management Guidelines for Adult Patients with Thyroid Nodules and Differentiated Thyroid Cancer: The American Thyroid Association Guidelines Task Force on Thyroid Nodules and Differentiated Thyroid Cancer. Thyroid. 2016;26(1):1–133. doi:10.1089/thy.2015.0020</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1D1CAC18">
      <w:pPr>
        <w:widowControl w:val="0"/>
        <w:numPr>
          <w:ilvl w:val="0"/>
          <w:numId w:val="1"/>
        </w:numPr>
        <w:rPr>
          <w:rFonts w:cs="Arial"/>
        </w:rPr>
      </w:pPr>
      <w:r>
        <w:rPr>
          <w:rFonts w:cs="Arial"/>
          <w:color w:val="FF69B4"/>
        </w:rPr>
        <w:t>Xu JS, Zhao X, Zhou B, et al. Study on medication rules of TCM in treatment of thyroid nodules based on real-world data analysis. J Clin Med Pract. 2024;28(4):28-33. doi:10.7619/jcmp.202404005</w:t>
      </w:r>
    </w:p>
    <w:p w14:paraId="6207FBBD">
      <w:pPr>
        <w:widowControl w:val="0"/>
        <w:numPr>
          <w:ilvl w:val="0"/>
          <w:numId w:val="1"/>
        </w:numPr>
        <w:spacing w:line="360" w:lineRule="auto"/>
        <w:rPr>
          <w:rFonts w:cs="Arial"/>
        </w:rPr>
      </w:pPr>
      <w:r>
        <w:rPr>
          <w:rFonts w:ascii="Times New Roman" w:hAnsi="Times New Roman" w:eastAsia="Times New Roman"/>
          <w:b w:val="0"/>
          <w:color w:val="FF69B4"/>
          <w:sz w:val="22"/>
        </w:rPr>
        <w:t>Wang SJ, Wang XH, Dai YY, Ma MH, Rahman K, Nian H, Zhang H. Prunella vulgaris: a comprehensive review of chemical constituents, pharmacological effects and clinical applications. Curr Pharm Des. 2019;25(3):359–369. doi:10.2174/1381612825666190313121608</w:t>
      </w:r>
    </w:p>
    <w:p w14:paraId="7D8CDED9">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p>
    <w:p w14:paraId="46F9D80B">
      <w:pPr>
        <w:widowControl w:val="0"/>
        <w:numPr>
          <w:ilvl w:val="0"/>
          <w:numId w:val="1"/>
        </w:numPr>
        <w:rPr>
          <w:rFonts w:cs="Arial"/>
        </w:rPr>
      </w:pPr>
      <w:r>
        <w:rPr>
          <w:rFonts w:cs="Arial"/>
          <w:color w:val="FF69B4"/>
        </w:rPr>
        <w:t>Wang GQ, Liu W, Huang F. Exploring the mechanism of Zhebeimu-Xiakucao drug pair on thyroid nodules based on network pharmacology and molecular docking. Henan Tradit Chin Med. 2023;43(10):1526-1533</w:t>
      </w:r>
    </w:p>
    <w:p w14:paraId="07D55446">
      <w:pPr>
        <w:widowControl w:val="0"/>
        <w:numPr>
          <w:ilvl w:val="0"/>
          <w:numId w:val="1"/>
        </w:numPr>
        <w:rPr>
          <w:rFonts w:cs="Arial"/>
        </w:rPr>
      </w:pPr>
      <w:r>
        <w:rPr>
          <w:rFonts w:cs="Arial"/>
          <w:color w:val="FF69B4"/>
        </w:rPr>
        <w:t>Ru J, Li P, Wang J, Zhou W, Li B, Huang C, et al. TCMSP: a database of systems pharmacology for drug discovery from herbal medicines. J Cheminform. 2014;6:13. doi:10.1186/1758-2946-6-13</w:t>
      </w:r>
    </w:p>
    <w:p w14:paraId="50BFD77E">
      <w:pPr>
        <w:widowControl w:val="0"/>
        <w:numPr>
          <w:ilvl w:val="0"/>
          <w:numId w:val="1"/>
        </w:numPr>
        <w:rPr>
          <w:rFonts w:cs="Arial"/>
        </w:rPr>
      </w:pPr>
      <w:r>
        <w:rPr>
          <w:rFonts w:cs="Arial"/>
          <w:color w:val="FF69B4"/>
        </w:rPr>
        <w:t>Kim S, Chen J, Cheng T, Gindulyte A, He J, He S, et al. PubChem 2023 update. Nucleic Acids Res. 2023;51(D1):D1373-D1380. doi:10.1093/nar/gkac956</w:t>
      </w:r>
    </w:p>
    <w:p w14:paraId="024F618C">
      <w:pPr>
        <w:widowControl w:val="0"/>
        <w:numPr>
          <w:ilvl w:val="0"/>
          <w:numId w:val="1"/>
        </w:numPr>
        <w:rPr>
          <w:rFonts w:cs="Arial"/>
        </w:rPr>
      </w:pPr>
      <w:r>
        <w:rPr>
          <w:rFonts w:cs="Arial"/>
          <w:color w:val="FF69B4"/>
        </w:rPr>
        <w:t>Gilson MK, Liu T, Baitaluk M, Nicola G, Hwang L, Chong J. BindingDB in 2015: A public database for medicinal chemistry, computational chemistry and systems pharmacology. Nucleic Acids Res. 2016;44(D1):D1045-D1053. doi:10.1093/nar/gkv1072</w:t>
      </w:r>
    </w:p>
    <w:p w14:paraId="2C23BF9F">
      <w:pPr>
        <w:widowControl w:val="0"/>
        <w:numPr>
          <w:ilvl w:val="0"/>
          <w:numId w:val="1"/>
        </w:numPr>
        <w:rPr>
          <w:rFonts w:cs="Arial"/>
        </w:rPr>
      </w:pPr>
      <w:r>
        <w:rPr>
          <w:rFonts w:cs="Arial"/>
          <w:color w:val="FF69B4"/>
        </w:rPr>
        <w:t>Safran M, Dalah I, Alexander J, Rosen N, Iny Stein T, Shmoish M, et al. GeneCards Version 3: the human gene integrator. Database (Oxford). 2010;2010:baq020. doi:10.1093/database/baq020</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color w:val="FF69B4"/>
        </w:rPr>
        <w:t>O'Boyle NM, Banck M, James CA, Morley C, Vandermeersch T, Hutchison GR. Open Babel: An open chemical toolbox. J Cheminform. 2011;3:33. doi:10.1186/1758-2946-3-33</w:t>
      </w:r>
    </w:p>
    <w:p w14:paraId="5E004D45">
      <w:pPr>
        <w:widowControl w:val="0"/>
        <w:numPr>
          <w:ilvl w:val="0"/>
          <w:numId w:val="1"/>
        </w:numPr>
        <w:rPr>
          <w:rFonts w:cs="Arial"/>
        </w:rPr>
      </w:pPr>
      <w:r>
        <w:rPr>
          <w:rFonts w:cs="Arial"/>
          <w:color w:val="FF69B4"/>
        </w:rPr>
        <w:t>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2021;49(D1):D437-D451. doi:10.1093/nar/gkaa1038</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7FF06382">
      <w:pPr>
        <w:widowControl w:val="0"/>
        <w:numPr>
          <w:ilvl w:val="0"/>
          <w:numId w:val="1"/>
        </w:numPr>
        <w:rPr>
          <w:rFonts w:cs="Arial"/>
        </w:rPr>
      </w:pPr>
      <w:r>
        <w:rPr>
          <w:rFonts w:cs="Arial"/>
          <w:color w:val="FF69B4"/>
        </w:rPr>
        <w:t>Heydarzadeh S, Kia SK, Zarkesh M, Pakizehkar S, Hosseinzadeh S, Hedayati M. The cross-talk between polyphenols and the target enzymes related to oxidative stress-induced thyroid cancer. Oxid Med Cell Longev. 2022;2022:2724324. doi:10.1155/2022/2724324</w:t>
      </w:r>
    </w:p>
    <w:p w14:paraId="696AA919">
      <w:pPr>
        <w:widowControl w:val="0"/>
        <w:numPr>
          <w:ilvl w:val="0"/>
          <w:numId w:val="1"/>
        </w:numPr>
        <w:rPr>
          <w:rFonts w:cs="Arial"/>
        </w:rPr>
      </w:pPr>
      <w:r>
        <w:rPr>
          <w:rFonts w:cs="Arial"/>
          <w:color w:val="FF69B4"/>
        </w:rPr>
        <w:t>Cazarin J, Dupuy C, Pires de Carvalho D. Redox homeostasis in thyroid cancer: implications in Na+/I- symporter (NIS) regulation. Int J Mol Sci. 2022;23(11):6129. doi:10.3390/ijms23116129</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color w:val="FF69B4"/>
        </w:rPr>
        <w:t>More P, Syed MMK, Basu S. Nanoparticle-mediated mitochondrial damage induces apoptosis in cancer. ACS Appl Mater Interfaces. 2016;8(21):13253-13264. doi:10.1021/acsami.6b00263</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