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left"/>
      </w:pPr>
      <w:r>
        <w:rPr>
          <w:rFonts w:ascii="Times New Roman" w:hAnsi="Times New Roman" w:eastAsia="Times New Roman"/>
          <w:b w:val="0"/>
          <w:sz w:val="24"/>
        </w:rPr>
        <w:t>Dear Editorial Board,</w:t>
      </w:r>
    </w:p>
    <w:p>
      <w:pPr>
        <w:spacing w:after="240" w:line="360" w:lineRule="auto"/>
        <w:jc w:val="left"/>
      </w:pPr>
      <w:r>
        <w:rPr>
          <w:rFonts w:ascii="Times New Roman" w:hAnsi="Times New Roman" w:eastAsia="Times New Roman"/>
          <w:b w:val="0"/>
          <w:sz w:val="24"/>
        </w:rPr>
        <w:t>We are pleased to submit our manuscript titled "An Integrative Analysis of TCM Metabolites in Thyroid Cancer Pathogenesis: Insights from Network Pharmacology and Molecular Docking" for consideration for publication in the Journal of Multidisciplinary Healthcare.</w:t>
      </w:r>
    </w:p>
    <w:p>
      <w:pPr>
        <w:spacing w:after="240" w:line="360" w:lineRule="auto"/>
        <w:jc w:val="left"/>
      </w:pPr>
      <w:r>
        <w:rPr>
          <w:rFonts w:ascii="Times New Roman" w:hAnsi="Times New Roman" w:eastAsia="Times New Roman"/>
          <w:b w:val="0"/>
          <w:sz w:val="24"/>
        </w:rPr>
        <w:t>Thyroid cancer has emerged as one of the most prevalent malignancies worldwide. Despite advances in surgical and radioiodine therapy, patients often face challenges including treatment side effects, recurrence, and limited options for advanced disease. This underscores the urgent need to explore complementary therapeutic strategies.</w:t>
      </w:r>
    </w:p>
    <w:p>
      <w:pPr>
        <w:spacing w:after="240" w:line="360" w:lineRule="auto"/>
        <w:jc w:val="left"/>
      </w:pPr>
      <w:r>
        <w:rPr>
          <w:rFonts w:ascii="Times New Roman" w:hAnsi="Times New Roman" w:eastAsia="Times New Roman"/>
          <w:b w:val="0"/>
          <w:sz w:val="24"/>
        </w:rPr>
        <w:t>In this study, we employed network pharmacology and molecular docking to systematically compare the active components, key targets, mechanisms of action, and related pathways of three classic traditional Chinese medicine (TCM) formulations—Xiao Ying Tang (XYT), Zhe Bei Mu (ZBM), and Xia Ku Cao (XKC)—in the treatment of thyroid cancer. Our findings reveal substantial differences in the number of therapeutic targets among the formulations: ZBM (78 targets, 1%), XKC (842 targets, 6%), and XYT (1,595 targets, 12%). Gene Ontology and KEGG enrichment analyses indicate that XYT and XKC share similarities in biological processes related to oxidative stress responses, angiogenesis, and calcium homeostasis. Notably, molecular docking validation demonstrated that β-sitosterol, a common active component, exhibits strong binding affinity to key targets including PTEN, AKT1, and BCL2.</w:t>
      </w:r>
    </w:p>
    <w:p>
      <w:pPr>
        <w:spacing w:after="240" w:line="360" w:lineRule="auto"/>
        <w:jc w:val="left"/>
      </w:pPr>
      <w:r>
        <w:rPr>
          <w:rFonts w:ascii="Times New Roman" w:hAnsi="Times New Roman" w:eastAsia="Times New Roman"/>
          <w:b w:val="0"/>
          <w:sz w:val="24"/>
        </w:rPr>
        <w:t>We believe that our findings provide valuable mechanistic insights into the polypharmacological nature of TCM formulations and may guide future experimental validation. This work aligns with the scope of the Journal of Multidisciplinary Healthcare, which emphasizes integrative approaches to disease understanding and treatment.</w:t>
      </w:r>
    </w:p>
    <w:p>
      <w:pPr>
        <w:spacing w:after="240" w:line="360" w:lineRule="auto"/>
        <w:jc w:val="left"/>
      </w:pPr>
      <w:r>
        <w:rPr>
          <w:rFonts w:ascii="Times New Roman" w:hAnsi="Times New Roman" w:eastAsia="Times New Roman"/>
          <w:b w:val="0"/>
          <w:sz w:val="24"/>
        </w:rPr>
        <w:t>All authors have approved the manuscript for submission. We confirm that this work is original, has not been published previously, and is not under consideration elsewhere. We have no conflicts of interest to disclose.</w:t>
      </w:r>
    </w:p>
    <w:p>
      <w:pPr>
        <w:spacing w:after="240" w:line="360" w:lineRule="auto"/>
        <w:jc w:val="left"/>
      </w:pPr>
      <w:r>
        <w:rPr>
          <w:rFonts w:ascii="Times New Roman" w:hAnsi="Times New Roman" w:eastAsia="Times New Roman"/>
          <w:b w:val="0"/>
          <w:sz w:val="24"/>
        </w:rPr>
        <w:t>We appreciate your time and consideration, and we look forward to your response.</w:t>
      </w:r>
    </w:p>
    <w:p>
      <w:pPr>
        <w:spacing w:after="0" w:line="360" w:lineRule="auto"/>
        <w:jc w:val="left"/>
      </w:pPr>
      <w:r>
        <w:rPr>
          <w:rFonts w:ascii="Times New Roman" w:hAnsi="Times New Roman" w:eastAsia="Times New Roman"/>
          <w:b w:val="0"/>
          <w:sz w:val="24"/>
        </w:rPr>
        <w:t>Sincerely,</w:t>
      </w:r>
    </w:p>
    <w:p>
      <w:pPr>
        <w:spacing w:after="0" w:line="360" w:lineRule="auto"/>
        <w:jc w:val="left"/>
      </w:pPr>
      <w:r>
        <w:rPr>
          <w:rFonts w:ascii="Times New Roman" w:hAnsi="Times New Roman" w:eastAsia="Times New Roman"/>
          <w:b/>
          <w:sz w:val="24"/>
        </w:rPr>
        <w:t>Tao Li</w:t>
      </w:r>
    </w:p>
    <w:p>
      <w:pPr>
        <w:spacing w:after="0" w:line="360" w:lineRule="auto"/>
        <w:jc w:val="left"/>
      </w:pPr>
      <w:r>
        <w:rPr>
          <w:rFonts w:ascii="Times New Roman" w:hAnsi="Times New Roman" w:eastAsia="Times New Roman"/>
          <w:b w:val="0"/>
          <w:sz w:val="24"/>
        </w:rPr>
        <w:t>Co-authors: Yajie Ding, Zhiyu Luo</w:t>
      </w:r>
    </w:p>
    <w:p>
      <w:pPr>
        <w:spacing w:after="0" w:line="360" w:lineRule="auto"/>
        <w:jc w:val="left"/>
      </w:pPr>
      <w:r>
        <w:rPr>
          <w:rFonts w:ascii="Times New Roman" w:hAnsi="Times New Roman" w:eastAsia="Times New Roman"/>
          <w:b w:val="0"/>
          <w:sz w:val="24"/>
        </w:rPr>
        <w:t>Corresponding author: Pengfei Yang</w:t>
      </w:r>
    </w:p>
    <w:p>
      <w:pPr>
        <w:spacing w:after="0" w:line="360" w:lineRule="auto"/>
        <w:jc w:val="left"/>
      </w:pPr>
      <w:r>
        <w:rPr>
          <w:rFonts w:ascii="Times New Roman" w:hAnsi="Times New Roman" w:eastAsia="Times New Roman"/>
          <w:b w:val="0"/>
          <w:sz w:val="24"/>
        </w:rPr>
        <w:t>Date: April 24,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