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Network pharmacology and independent transcriptome validation of core herbs selected from Xiao Ying Tang in thyroid cancer</w:t>
      </w:r>
    </w:p>
    <w:p>
      <w:r>
        <w:t>Structured "Materials and Methods / Results / Discussion / Conclusion" for submission (English; word and character counts annotated per section).</w:t>
      </w:r>
    </w:p>
    <w:p>
      <w:pPr>
        <w:pStyle w:val="Heading2"/>
      </w:pPr>
      <w:r>
        <w:t>Materials and Methods</w:t>
      </w:r>
    </w:p>
    <w:p>
      <w:r>
        <w:t>We used network pharmacology followed by validation in independent transcriptome cohorts. Ingredients of the core herbs selected from Xiao Ying Tang (XYT; 14 herbs including E Zhu, Bai Shao, Dang Gui, Chai Hu, Xia Ku Cao and Zhe Bei Mu) were taken from TCMSP and mapped to PubChem identifiers. Compound-associated genes came from BindingDB, BATMAN-TCM (prediction score &gt;0.80) and the IUPHAR/BPS Guide to PHARMACOLOGY; intersecting them with 12,987 GeneCards thyroid-tumour-associated genes gave the XYT, Zhe Bei Mu (ZBM) and Xia Ku Cao (XKC) candidate sets, which were analysed with clusterProfiler for GO and KEGG enrichment. Expression was studied in two paired papillary thyroid carcinoma (PTC) cohorts, GSE60542 (24 patients) and GSE33630 (44 pairs), with paired limma models; differential expression required Benjamini–Hochberg-adjusted P &lt;0.05 and |log2 fold change| ≥1. Candidate-set enrichment was tested with one-sided Fisher tests against all measured genes and against the disease-associated subset, and cross-cohort agreement was checked; GSE33630 was also analysed separately by radiation exposure. β-Sitosterol, the compound shared by all three sets, was docked to human CYP3A4 (6UNI) and CaV3.2 (9AYG) as an exploratory analysis.</w:t>
      </w:r>
    </w:p>
    <w:p>
      <w:r>
        <w:t>(179 words, 1245 characters)</w:t>
      </w:r>
    </w:p>
    <w:p>
      <w:pPr>
        <w:pStyle w:val="Heading2"/>
      </w:pPr>
      <w:r>
        <w:t>Results</w:t>
      </w:r>
    </w:p>
    <w:p>
      <w:r>
        <w:t>The disease intersections contained 78 ZBM, 842 XKC and 1,595 XYT genes. GO and KEGG enrichment centred on oxidative stress, calcium signalling, MAPK signalling and the thyroid cancer pathway. Each cohort measured 20,848 genes; 666 in GSE60542 and 745 in GSE33630 met the differential-expression criteria. XYT and XKC were enriched in both cohorts, with odds ratios against disease-associated backgrounds of 1.80 and 2.08 in GSE60542 and 1.59 and 1.80 in GSE33630 (all adjusted P &lt;0.001); ZBM was not enriched. Of the 666 genes found in GSE60542, 664 changed in the same direction in GSE33630 and 536 met the same criteria again, including 83 XYT candidates — among them the thyroid-differentiation markers DIO1 and TPO, both down-regulated, and LRRK2, DPP4 and FN1, all up-regulated. Enrichment held in both radiation-exposure strata. POLB, CACNA1H and CYP3A4 met the combined criteria in neither cohort. The best docking scores for β-sitosterol were −9.12 kcal/mol (CYP3A4) and −9.68 kcal/mol (CaV3.2), which we treat as exploratory.</w:t>
      </w:r>
    </w:p>
    <w:p>
      <w:r>
        <w:t>(159 words, 1035 characters)</w:t>
      </w:r>
    </w:p>
    <w:p>
      <w:pPr>
        <w:pStyle w:val="Heading2"/>
      </w:pPr>
      <w:r>
        <w:t>Discussion</w:t>
      </w:r>
    </w:p>
    <w:p>
      <w:r>
        <w:t>This study ties the selected XYT core herbs to thyroid-disease genes and then finds those genes altered in paired PTC tissue. The enriched annotations — oxidative stress, calcium regulation, signalling — fit what is known of thyroid cancer biology, but they describe the candidate sets as a whole, not the activity of any single pathway. Because the three sets are nested, the wider XYT coverage is expected and cannot be read as synergy, and the non-significant ZBM result proves neither inactivity nor a difference from the other sets, resting as it does on only 77 measured genes. The replicated single-gene candidates were headed by genes already characteristic of PTC, including the down-regulated differentiation markers DIO1 and TPO. POLB fell slightly in both cohorts, but transcript abundance is not protein activity, and the docking poses add little: CYP3A4 lacked its haem cofactor, and the automatic search regions were never validated as binding sites. Limitations include target assignments that mix recorded and predicted associations, a broad disease list that favours well-studied genes, and the young GSE33630 patients. Cross-cohort agreement supports reproducible disease associations, not a response to herbal treatment. Follow-up work should bring together concentration–response experiments, non-malignant controls, target perturbation and binding or functional assays.</w:t>
      </w:r>
    </w:p>
    <w:p>
      <w:r>
        <w:t>(203 words, 1391 characters)</w:t>
      </w:r>
    </w:p>
    <w:p>
      <w:pPr>
        <w:pStyle w:val="Heading2"/>
      </w:pPr>
      <w:r>
        <w:t>Conclusion</w:t>
      </w:r>
    </w:p>
    <w:p>
      <w:r>
        <w:t>XYT and XKC candidate genes were over-represented among genes altered in paired PTC tissue in two independent cohorts, including against disease-associated backgrounds. Eighty-three XYT candidates, among them the thyroid-differentiation markers DIO1 and TPO, met the differential-expression criteria in both cohorts and are the genes to take forward into functional work. ZBM showed no clear enrichment, and none of the three preselected genes (POLB, CACNA1H, CYP3A4) met the combined criteria. These are disease associations, not evidence of treatment effect; whether the selected herbs have any therapeutic role in thyroid cancer still needs testing in treated models with chemically characterised preparations.</w:t>
      </w:r>
    </w:p>
    <w:p>
      <w:r>
        <w:t>(99 words, 713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