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[4-5]. Even molecular targeted drugs such as Dabrafenib, Trametinib, Selpercatinib, and Pralsetinib have limited practical use because of their high cost and uncertain long-term effectiveness [6-9]. Therefore, it is essential to actively pursue effective treatments for thyroid cancer and investigate the underlying regulatory mechanisms.</w:t>
      </w:r>
    </w:p>
    <w:p w14:paraId="547A90B7">
      <w:pPr>
        <w:pStyle w:val="7"/>
      </w:pPr>
      <w: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w:t>
      </w:r>
      <w:r>
        <w:rPr>
          <w:vertAlign w:val="superscript"/>
        </w:rPr>
        <w:t xml:space="preserve"> [10]</w:t>
      </w:r>
      <w:r>
        <w:t>.</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[11].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[12]. Network pharmacology analyses of Zhe Bei Mu have identified 2,357 disease-related targets and 96 core targets linked to thyroid cancer, including key genes such as NPM1, HSPA5, and HDAC5 [13].</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[14].</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 Clinical applications by Pu Chunli have demonstrated that this formula significantly alleviates neck discomfort in patients while reducing the volume and maximum diameter of thyroid nodules [15]. Furthermore, Meng Dali's clinical trials found that this formula can lower thyroid autoantibody levels while regulating CD4+ and CD8+ ratios to improve immune dysregulation [16]. Experimental studies have confirmed that this formula significantly inhibits follicular thyroid carcinoma by downregulating the HIF-1α/VEGF signaling pathway to suppress angiogenesis [17].</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[18]. The chemical identifiers (CIDs) for these metabolites were retrieved from PubChem [19]. Using these CIDs, gene information for the metabolites was collected from the MetaBat, BindingDB, and Guide to Pharmacology databases [20]. GeneCards was also used to obtain genes associated with thyroid cancer [21].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[22]. The enriched biological processes, pathways, and functions linked to thyroid cancer and metabolites were visualized based on these results (Figures 3 and 4). Significantly enriched terms were identified using a significance threshold of p &lt; 0.05 [23]. The SMILES data derived from CIDs were converted into Structure Data Format (SDF) files using Open Babel for molecular docking experiments [24]. These SDF files were used as ligand inputs for docking simulations. Protein structures corresponding to the intersecting genes were retrieved from the Protein Data Bank (PDB) through the RCSB website [25]. The binding affinities between metabolites and target proteins were predicted using AutoDock Vina [26].</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[27-28].</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[29].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[30].</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[31]. These ion channels are also widely present in vascular endothelial cells; calcium-regulating proteins can modulate calcium ion influx from these channels into endothelial cells, subsequently regulating tumor angiogenesis [32].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[33]. Recent studies have used nanomaterials to induce apoptosis for anti-tumor benefits [34].</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[35]. CYP3A4 expression is regulated by several signaling mechanisms. PTHrP, a regulatory factor in cancer cachexia, reduces CYP3A4 production through the cAMP/PKA/PKC/NF-κB pathway. Inhibiting these pathways can restore this suppression [36].</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b w:val="0"/>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(Bao et al., 2022), suppress proliferation and migration through the PI3K/Akt/HIF-1α pathway in non-small cell lung cancer (Cao et al., 2024), and trigger cell cycle arrest and apoptotic death in leukemia cells (Moon et al., 2008). A comprehensive review further summarized that β-sitosterol exerts broad-spectrum anti-tumor effects against breast, gastric, lung, prostate, and colorectal cancers through diverse mechanisms including pro-apoptotic, anti-proliferative, and anti-metastatic actions (Nandi et al., 2024).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(Chen et al., 2024).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[37]. Keap1/Nrf2 signaling is involved in both benign and malignant thyroid disorders and can serve as a prognostic indicator or therapeutic target [38]. The activation of MAPK signaling is closely associated with several forms of thyroid malignancy, notably papillary thyroid carcinoma (PTC) and follicular thyroid carcinoma (FTC), making MAPK and PI3K pathways key activation mechanisms in thyroid tumorigenesis [39].</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rPr>
          <w:rFonts w:cs="Arial"/>
        </w:rPr>
      </w:pPr>
      <w:r>
        <w:rPr>
          <w:rFonts w:cs="Arial"/>
        </w:rPr>
        <w:t>Wang L, Zhang H. Current surgical status of thyroid diseases. Chinese Journal of Surgery. 2023;61(2):145–150.</w:t>
      </w:r>
    </w:p>
    <w:p w14:paraId="548B6D74">
      <w:pPr>
        <w:widowControl w:val="0"/>
        <w:numPr>
          <w:ilvl w:val="0"/>
          <w:numId w:val="1"/>
        </w:numPr>
        <w:rPr>
          <w:rFonts w:cs="Arial"/>
        </w:rPr>
      </w:pPr>
      <w:r>
        <w:rPr>
          <w:rFonts w:cs="Arial"/>
        </w:rPr>
        <w:t>Li J, Chen X, Wang Y. Blood profiles in the prediction of radioiodine refractory papillary thyroid cancer: A case–control study. Thyroid. 2024;34(1):23–31.</w:t>
      </w:r>
    </w:p>
    <w:p w14:paraId="69F02B80">
      <w:pPr>
        <w:widowControl w:val="0"/>
        <w:numPr>
          <w:ilvl w:val="0"/>
          <w:numId w:val="1"/>
        </w:numPr>
        <w:rPr>
          <w:rFonts w:cs="Arial"/>
        </w:rPr>
      </w:pPr>
      <w:r>
        <w:rPr>
          <w:rFonts w:cs="Arial"/>
        </w:rPr>
        <w:t>Zhang S, Liu H, Wu X. Thyroid cancer patients’ view of clinician professionalism and multidisciplinary approach to their management. Journal of Clinical Medicine. 2023;12(8):2876.</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70888367">
      <w:pPr>
        <w:widowControl w:val="0"/>
        <w:numPr>
          <w:ilvl w:val="0"/>
          <w:numId w:val="1"/>
        </w:numPr>
        <w:rPr>
          <w:rFonts w:cs="Arial"/>
        </w:rPr>
      </w:pPr>
      <w:r>
        <w:rPr>
          <w:rFonts w:cs="Arial"/>
        </w:rPr>
        <w:t>Ma W, Liu Y, Zhang W. Research on TCM syndrome differentiation in colorectal cancer and clinical laboratory indicators. Evidence-Based Complementary and Alternative Medicine. 2024;2024:1–12.</w:t>
      </w:r>
    </w:p>
    <w:p w14:paraId="6136AEE8">
      <w:pPr>
        <w:widowControl w:val="0"/>
        <w:numPr>
          <w:ilvl w:val="0"/>
          <w:numId w:val="1"/>
        </w:numPr>
        <w:rPr>
          <w:rFonts w:cs="Arial"/>
        </w:rPr>
      </w:pPr>
      <w:r>
        <w:rPr>
          <w:rFonts w:cs="Arial"/>
        </w:rPr>
        <w:t>Chen R, Wang L, Li M. Resilience in Chinese spouses of patients with advanced cancer: A longitudinal exploration. Cancer Nursing. 2024;47(1):E9–E17.</w:t>
      </w:r>
    </w:p>
    <w:p w14:paraId="1D1CAC18">
      <w:pPr>
        <w:widowControl w:val="0"/>
        <w:numPr>
          <w:ilvl w:val="0"/>
          <w:numId w:val="1"/>
        </w:numPr>
        <w:rPr>
          <w:rFonts w:cs="Arial"/>
        </w:rPr>
      </w:pPr>
      <w:r>
        <w:rPr>
          <w:rFonts w:cs="Arial"/>
        </w:rPr>
        <w:t>Chen L, Zhou Q, Wang Y. Recent advances of traditional chinese medicine against cardiovascular diseases: A review. Frontiers in Endocrinology. 2024;15:1366285.</w:t>
      </w:r>
    </w:p>
    <w:p w14:paraId="6207FBBD">
      <w:pPr>
        <w:widowControl w:val="0"/>
        <w:numPr>
          <w:ilvl w:val="0"/>
          <w:numId w:val="1"/>
        </w:numPr>
        <w:rPr>
          <w:rFonts w:cs="Arial"/>
        </w:rPr>
      </w:pPr>
      <w:r>
        <w:rPr>
          <w:rFonts w:cs="Arial"/>
        </w:rPr>
        <w:t>Sun Y, Liang W, Gan X. Research progress on chemical composition and pharmacological effects of prunella vulgaris. Chinese Journal of Organic Chemistry. 2024;44(1):1–15.</w:t>
      </w:r>
    </w:p>
    <w:p w14:paraId="7D8CDED9">
      <w:pPr>
        <w:widowControl w:val="0"/>
        <w:numPr>
          <w:ilvl w:val="0"/>
          <w:numId w:val="1"/>
        </w:numPr>
        <w:rPr>
          <w:rFonts w:cs="Arial"/>
        </w:rPr>
      </w:pPr>
      <w:r>
        <w:rPr>
          <w:rFonts w:cs="Arial"/>
        </w:rPr>
        <w:t>Hou P, Fan Q, Wang L. Study on mechanism of thyroid cancer pathogenesis: Role of cytoskeleton reorganization and RhoA signaling. International Journal of Molecular Medicine. 2024;53(3):1–15.</w:t>
      </w:r>
    </w:p>
    <w:p w14:paraId="3EFC720C">
      <w:pPr>
        <w:widowControl w:val="0"/>
        <w:numPr>
          <w:ilvl w:val="0"/>
          <w:numId w:val="1"/>
        </w:numPr>
        <w:rPr>
          <w:rFonts w:cs="Arial"/>
        </w:rPr>
      </w:pPr>
      <w:r>
        <w:rPr>
          <w:rFonts w:cs="Arial"/>
        </w:rPr>
        <w:t xml:space="preserve">Wang G, Zhao G, Yin J. Exploration on the enhanced mechanism of copper surface tribology by WS2 from </w:t>
      </w:r>
      <w:bookmarkStart w:id="5" w:name="_GoBack"/>
      <w:r>
        <w:rPr>
          <w:rFonts w:cs="Arial"/>
        </w:rPr>
        <w:t>MD simulation</w:t>
      </w:r>
      <w:bookmarkEnd w:id="5"/>
      <w:r>
        <w:rPr>
          <w:rFonts w:cs="Arial"/>
        </w:rPr>
        <w:t>. Vacuum. 2024;225:113291.</w:t>
      </w:r>
    </w:p>
    <w:p w14:paraId="46F9D80B">
      <w:pPr>
        <w:widowControl w:val="0"/>
        <w:numPr>
          <w:ilvl w:val="0"/>
          <w:numId w:val="1"/>
        </w:numPr>
        <w:rPr>
          <w:rFonts w:cs="Arial"/>
        </w:rPr>
      </w:pPr>
      <w:r>
        <w:rPr>
          <w:rFonts w:cs="Arial"/>
        </w:rPr>
        <w:t>Xu Z, Wang L, Zhang H. Clinical efficacy of Chinese and western medicine in the treatment of benign thyroid nodules: A meta-analysis. Evidence-Based Complementary and Alternative Medicine. 2024;2024:3108485.</w:t>
      </w:r>
    </w:p>
    <w:p w14:paraId="353BC371">
      <w:pPr>
        <w:widowControl w:val="0"/>
        <w:numPr>
          <w:ilvl w:val="0"/>
          <w:numId w:val="1"/>
        </w:numPr>
        <w:rPr>
          <w:rFonts w:cs="Arial"/>
        </w:rPr>
      </w:pPr>
      <w:r>
        <w:rPr>
          <w:rFonts w:cs="Arial"/>
        </w:rPr>
        <w:t>Lv J, Pu C, Chen W. Cost effectiveness of definitive treatment strategies for autonomously functioning thyroid nodules. Clinical Endocrinology. 2024;100(1):39–47.</w:t>
      </w:r>
    </w:p>
    <w:p w14:paraId="55825A28">
      <w:pPr>
        <w:widowControl w:val="0"/>
        <w:numPr>
          <w:ilvl w:val="0"/>
          <w:numId w:val="1"/>
        </w:numPr>
        <w:rPr>
          <w:rFonts w:cs="Arial"/>
        </w:rPr>
      </w:pPr>
      <w:r>
        <w:rPr>
          <w:rFonts w:cs="Arial"/>
        </w:rPr>
        <w:t>Meng D, Zhang W, Liu Y. Plant-derived alkaloids as a potential source of treatment for colorectal cancer: A comprehensive review. Frontiers in Pharmacology. 2024;15:1–15.</w:t>
      </w:r>
    </w:p>
    <w:p w14:paraId="68378153">
      <w:pPr>
        <w:widowControl w:val="0"/>
        <w:numPr>
          <w:ilvl w:val="0"/>
          <w:numId w:val="1"/>
        </w:numPr>
        <w:rPr>
          <w:rFonts w:cs="Arial"/>
        </w:rPr>
      </w:pPr>
      <w:r>
        <w:rPr>
          <w:rFonts w:cs="Arial"/>
        </w:rPr>
        <w:t>Deng J, Wang L, Zhang H, et al. Effects of sanjie xiaoying fang combined with levothyroxine in treatment of benign thyroid nodules: A clinical study. Evidence-Based Complementary and Alternative Medicine. 2024;2024:1–8.</w:t>
      </w:r>
    </w:p>
    <w:p w14:paraId="07D55446">
      <w:pPr>
        <w:widowControl w:val="0"/>
        <w:numPr>
          <w:ilvl w:val="0"/>
          <w:numId w:val="1"/>
        </w:numPr>
        <w:rPr>
          <w:rFonts w:cs="Arial"/>
        </w:rPr>
      </w:pPr>
      <w:r>
        <w:rPr>
          <w:rFonts w:cs="Arial"/>
        </w:rPr>
        <w:t>Wang Y et al. Traditional Chinese medicine systems pharmacology database and analysis platform [Internet]. Northwest A&amp;F University; 2024. Available from: https://old.tcmsp-e.com/tcmsp.php.</w:t>
      </w:r>
    </w:p>
    <w:p w14:paraId="50BFD77E">
      <w:pPr>
        <w:widowControl w:val="0"/>
        <w:numPr>
          <w:ilvl w:val="0"/>
          <w:numId w:val="1"/>
        </w:numPr>
        <w:rPr>
          <w:rFonts w:cs="Arial"/>
        </w:rPr>
      </w:pPr>
      <w:r>
        <w:rPr>
          <w:rFonts w:cs="Arial"/>
        </w:rPr>
        <w:t>Kim S et al. PubChem substance and compound databases. National Center for Biotechnology Information; 2024.</w:t>
      </w:r>
    </w:p>
    <w:p w14:paraId="024F618C">
      <w:pPr>
        <w:widowControl w:val="0"/>
        <w:numPr>
          <w:ilvl w:val="0"/>
          <w:numId w:val="1"/>
        </w:numPr>
        <w:rPr>
          <w:rFonts w:cs="Arial"/>
        </w:rPr>
      </w:pPr>
      <w:r>
        <w:rPr>
          <w:rFonts w:cs="Arial"/>
        </w:rPr>
        <w:t>Kang D et al. Meta BAT: Metagenome binning with abundance and tetra-nucleotide frequencies. Lawrence Berkeley National Laboratory; 2024.</w:t>
      </w:r>
    </w:p>
    <w:p w14:paraId="2C23BF9F">
      <w:pPr>
        <w:widowControl w:val="0"/>
        <w:numPr>
          <w:ilvl w:val="0"/>
          <w:numId w:val="1"/>
        </w:numPr>
        <w:rPr>
          <w:rFonts w:cs="Arial"/>
        </w:rPr>
      </w:pPr>
      <w:r>
        <w:rPr>
          <w:rFonts w:cs="Arial"/>
        </w:rPr>
        <w:t>Safran M, Lancet D, et al. Gene Cards: The human gene database. Weizmann Institute of Science; 2024.</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rPr>
        <w:t>Python Software Foundation. Python language reference, version 3.13 [Internet]. Python Software Foundation; 2024. Available from: https://docs.python.org/3/.</w:t>
      </w:r>
    </w:p>
    <w:p w14:paraId="5E004D45">
      <w:pPr>
        <w:widowControl w:val="0"/>
        <w:numPr>
          <w:ilvl w:val="0"/>
          <w:numId w:val="1"/>
        </w:numPr>
        <w:rPr>
          <w:rFonts w:cs="Arial"/>
        </w:rPr>
      </w:pPr>
      <w:r>
        <w:rPr>
          <w:rFonts w:cs="Arial"/>
        </w:rPr>
        <w:t>Burley SK et al. RCSB protein data bank: Supporting research and education worldwide through explorations of experimentally determined and computationally predicted atomic level 3D biostructures [Internet]. Research Collaboratory for Structural Bioinformatics; 2024. Available from: https://www.rcsb.org.</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2A8F9556">
      <w:pPr>
        <w:widowControl w:val="0"/>
        <w:numPr>
          <w:ilvl w:val="0"/>
          <w:numId w:val="1"/>
        </w:numPr>
        <w:rPr>
          <w:rFonts w:cs="Arial"/>
        </w:rPr>
      </w:pPr>
      <w:r>
        <w:rPr>
          <w:rFonts w:cs="Arial"/>
        </w:rPr>
        <w:t>Zhang Y et al. Visualization of enrichment results in GO and KEGG pathways using r packages. Bioinformatics. 2020;36(11):3435–3437.</w:t>
      </w:r>
    </w:p>
    <w:p w14:paraId="7413F686">
      <w:pPr>
        <w:widowControl w:val="0"/>
        <w:numPr>
          <w:ilvl w:val="0"/>
          <w:numId w:val="1"/>
        </w:numPr>
        <w:rPr>
          <w:rFonts w:cs="Arial"/>
        </w:rPr>
      </w:pPr>
      <w:r>
        <w:rPr>
          <w:rFonts w:cs="Arial"/>
        </w:rPr>
        <w:t>Chen H et al. Data visualization in bioinformatics: A review of tools and methods. Briefings in Bioinformatics. 2021;22(6):2235–2250.</w:t>
      </w:r>
    </w:p>
    <w:p w14:paraId="7FF06382">
      <w:pPr>
        <w:widowControl w:val="0"/>
        <w:numPr>
          <w:ilvl w:val="0"/>
          <w:numId w:val="1"/>
        </w:numPr>
        <w:rPr>
          <w:rFonts w:cs="Arial"/>
        </w:rPr>
      </w:pPr>
      <w:r>
        <w:rPr>
          <w:rFonts w:cs="Arial"/>
        </w:rPr>
        <w:t>Heydarzadeh S et al. The crosstalk between polyphenols and the target enzymes related to oxidative stress-induced thyroid cancer. Oxid Med Cell Longev. 2022;</w:t>
      </w:r>
    </w:p>
    <w:p w14:paraId="696AA919">
      <w:pPr>
        <w:widowControl w:val="0"/>
        <w:numPr>
          <w:ilvl w:val="0"/>
          <w:numId w:val="1"/>
        </w:numPr>
        <w:rPr>
          <w:rFonts w:cs="Arial"/>
        </w:rPr>
      </w:pPr>
      <w:r>
        <w:rPr>
          <w:rFonts w:cs="Arial"/>
        </w:rPr>
        <w:t>Cazarin J et al. Redox homeostasis in thyroid cancer: Implications in na+/i- symporter (NIS) regulation. Int J Mol Sci. 2022;</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rPr>
        <w:t>Davis PJ, Glinsky GV, Lin H-Y, et al. Nanotetrac targets integrin αvβ3 on tumor cells to disorder cell defense pathways and block angiogenesis. Nontargets and Therapy. 2014;7:1619–1624.</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