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[4-5]. Even molecular targeted drugs such as Dabrafenib, Trametinib, Selpercatinib, and Pralsetinib have limited practical use because of their high cost and uncertain long-term effectiveness [6-9]. Therefore, it is essential to actively pursue effective treatments for thyroid cancer and investigate the underlying regulatory mechanisms.</w:t>
      </w:r>
    </w:p>
    <w:p w14:paraId="547A90B7">
      <w:pPr>
        <w:pStyle w:val="7"/>
      </w:pPr>
      <w: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w:t>
      </w:r>
      <w:r>
        <w:rPr>
          <w:vertAlign w:val="superscript"/>
        </w:rPr>
        <w:t xml:space="preserve"> [10]</w:t>
      </w:r>
      <w:r>
        <w:t>.</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[11].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[12]. Network pharmacology analyses of Zhe Bei Mu have identified 2,357 disease-related targets and 96 core targets linked to thyroid cancer, including key genes such as NPM1, HSPA5, and HDAC5 [13].</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[14].</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 Clinical applications by Pu Chunli have demonstrated that this formula significantly alleviates neck discomfort in patients while reducing the volume and maximum diameter of thyroid nodules [15]. Furthermore, Meng Dali's clinical trials found that this formula can lower thyroid autoantibody levels while regulating CD4+ and CD8+ ratios to improve immune dysregulation [16]. Experimental studies have confirmed that this formula significantly inhibits follicular thyroid carcinoma by downregulating the HIF-1α/VEGF signaling pathway to suppress angiogenesis [17].</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[18]. The chemical identifiers (CIDs) for these metabolites were retrieved from PubChem [19]. Using these CIDs, gene information for the metabolites was collected from the MetaBat, BindingDB, and Guide to Pharmacology databases [20]. GeneCards was also used to obtain genes associated with thyroid cancer [21].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[22]. The enriched biological processes, pathways, and functions linked to thyroid cancer and metabolites were visualized based on these results (Figures 3 and 4). Significantly enriched terms were identified using a significance threshold of p &lt; 0.05 [23]. The SMILES data derived from CIDs were converted into Structure Data Format (SDF) files using Open Babel for molecular docking experiments [24]. These SDF files were used as ligand inputs for docking simulations. Protein structures corresponding to the intersecting genes were retrieved from the Protein Data Bank (PDB) through the RCSB website [25]. The binding affinities between metabolites and target proteins were predicted using AutoDock Vina [26].</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[27-28].</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[29].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[30].</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[31]. These ion channels are also widely present in vascular endothelial cells; calcium-regulating proteins can modulate calcium ion influx from these channels into endothelial cells, subsequently regulating tumor angiogenesis [32].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[33]. Recent studies have used nanomaterials to induce apoptosis for anti-tumor benefits [34].</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[35]. CYP3A4 expression is regulated by several signaling mechanisms. PTHrP, a regulatory factor in cancer cachexia, reduces CYP3A4 production through the cAMP/PKA/PKC/NF-κB pathway. Inhibiting these pathways can restore this suppression [36].</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b w:val="0"/>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(Bao et al., 2022), suppress proliferation and migration through the PI3K/Akt/HIF-1α pathway in non-small cell lung cancer (Cao et al., 2024), and trigger cell cycle arrest and apoptotic death in leukemia cells (Moon et al., 2008). A comprehensive review further summarized that β-sitosterol exerts broad-spectrum anti-tumor effects against breast, gastric, lung, prostate, and colorectal cancers through diverse mechanisms including pro-apoptotic, anti-proliferative, and anti-metastatic actions (Nandi et al., 2024).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(Chen et al., 2024).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[37]. Keap1/Nrf2 signaling is involved in both benign and malignant thyroid disorders and can serve as a prognostic indicator or therapeutic target [38]. The activation of MAPK signaling is closely associated with several forms of thyroid malignancy, notably papillary thyroid carcinoma (PTC) and follicular thyroid carcinoma (FTC), making MAPK and PI3K pathways key activation mechanisms in thyroid tumorigenesis [39].</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rPr>
          <w:rFonts w:cs="Arial"/>
        </w:rPr>
      </w:pPr>
      <w:r>
        <w:rPr>
          <w:rFonts w:cs="Arial"/>
        </w:rPr>
        <w:t>Wang L, Zhang H. Current surgical status of thyroid diseases. Chinese Journal of Surgery. 2023;61(2):145–150.</w:t>
      </w:r>
    </w:p>
    <w:p w14:paraId="548B6D74">
      <w:pPr>
        <w:widowControl w:val="0"/>
        <w:numPr>
          <w:ilvl w:val="0"/>
          <w:numId w:val="1"/>
        </w:numPr>
        <w:rPr>
          <w:rFonts w:cs="Arial"/>
        </w:rPr>
      </w:pPr>
      <w:r>
        <w:rPr>
          <w:rFonts w:cs="Arial"/>
        </w:rPr>
        <w:t>Li J, Chen X, Wang Y. Blood profiles in the prediction of radioiodine refractory papillary thyroid cancer: A case–control study. Thyroid. 2024;34(1):23–31.</w:t>
      </w:r>
    </w:p>
    <w:p w14:paraId="69F02B80">
      <w:pPr>
        <w:widowControl w:val="0"/>
        <w:numPr>
          <w:ilvl w:val="0"/>
          <w:numId w:val="1"/>
        </w:numPr>
        <w:rPr>
          <w:rFonts w:cs="Arial"/>
        </w:rPr>
      </w:pPr>
      <w:r>
        <w:rPr>
          <w:rFonts w:cs="Arial"/>
        </w:rPr>
        <w:t>Zhang S, Liu H, Wu X. Thyroid cancer patients’ view of clinician professionalism and multidisciplinary approach to their management. Journal of Clinical Medicine. 2023;12(8):2876.</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70888367">
      <w:pPr>
        <w:widowControl w:val="0"/>
        <w:numPr>
          <w:ilvl w:val="0"/>
          <w:numId w:val="1"/>
        </w:numPr>
        <w:rPr>
          <w:rFonts w:cs="Arial"/>
        </w:rPr>
      </w:pPr>
      <w:r>
        <w:rPr>
          <w:rFonts w:cs="Arial"/>
        </w:rPr>
        <w:t>Ma W, Liu Y, Zhang W. Research on TCM syndrome differentiation in colorectal cancer and clinical laboratory indicators. Evidence-Based Complementary and Alternative Medicine. 2024;2024:1–12.</w:t>
      </w:r>
    </w:p>
    <w:p w14:paraId="6136AEE8">
      <w:pPr>
        <w:widowControl w:val="0"/>
        <w:numPr>
          <w:ilvl w:val="0"/>
          <w:numId w:val="1"/>
        </w:numPr>
        <w:rPr>
          <w:rFonts w:cs="Arial"/>
        </w:rPr>
      </w:pPr>
      <w:r>
        <w:rPr>
          <w:rFonts w:cs="Arial"/>
        </w:rPr>
        <w:t>Chen R, Wang L, Li M. Resilience in Chinese spouses of patients with advanced cancer: A longitudinal exploration. Cancer Nursing. 2024;47(1):E9–E17.</w:t>
      </w:r>
    </w:p>
    <w:p w14:paraId="1D1CAC18">
      <w:pPr>
        <w:widowControl w:val="0"/>
        <w:numPr>
          <w:ilvl w:val="0"/>
          <w:numId w:val="1"/>
        </w:numPr>
        <w:rPr>
          <w:rFonts w:cs="Arial"/>
        </w:rPr>
      </w:pPr>
      <w:r>
        <w:rPr>
          <w:rFonts w:cs="Arial"/>
          <w:color w:val="FF69B4"/>
        </w:rPr>
        <w:t>Xu JS, Zhao X, Zhou B, et al. Study on medication rules of TCM in treatment of thyroid nodules based on real-world data analysis. J Clin Med Pract. 2024;28(4):28-33. doi:10.7619/jcmp.202404005</w:t>
      </w:r>
    </w:p>
    <w:p w14:paraId="6207FBBD">
      <w:pPr>
        <w:widowControl w:val="0"/>
        <w:numPr>
          <w:ilvl w:val="0"/>
          <w:numId w:val="1"/>
        </w:numPr>
        <w:rPr>
          <w:rFonts w:cs="Arial"/>
        </w:rPr>
      </w:pPr>
      <w:r>
        <w:rPr>
          <w:rFonts w:cs="Arial"/>
        </w:rPr>
        <w:t>Sun Y, Liang W, Gan X. Research progress on chemical composition and pharmacological effects of prunella vulgaris. Chinese Journal of Organic Chemistry. 2024;44(1):1–15.</w:t>
      </w:r>
    </w:p>
    <w:p w14:paraId="7D8CDED9">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p>
    <w:p w14:paraId="3EFC720C">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bookmarkStart w:id="5" w:name="_GoBack"/>
      <w:r>
        <w:rPr>
          <w:rFonts w:cs="Arial"/>
        </w:rPr>
      </w:r>
      <w:bookmarkEnd w:id="5"/>
      <w:r>
        <w:rPr>
          <w:rFonts w:cs="Arial"/>
        </w:rPr>
      </w:r>
    </w:p>
    <w:p w14:paraId="46F9D80B">
      <w:pPr>
        <w:widowControl w:val="0"/>
        <w:numPr>
          <w:ilvl w:val="0"/>
          <w:numId w:val="1"/>
        </w:numPr>
        <w:rPr>
          <w:rFonts w:cs="Arial"/>
        </w:rPr>
      </w:pPr>
      <w:r>
        <w:rPr>
          <w:rFonts w:cs="Arial"/>
          <w:color w:val="FF69B4"/>
        </w:rPr>
        <w:t>Wang GQ, Liu W, Huang F. Exploring the mechanism of Zhebeimu-Xiakucao drug pair on thyroid nodules based on network pharmacology and molecular docking. Henan Tradit Chin Med. 2023;43(10):1526-1533</w:t>
      </w:r>
    </w:p>
    <w:p w14:paraId="353BC371">
      <w:pPr>
        <w:widowControl w:val="0"/>
        <w:numPr>
          <w:ilvl w:val="0"/>
          <w:numId w:val="1"/>
        </w:numPr>
        <w:rPr>
          <w:rFonts w:cs="Arial"/>
        </w:rPr>
      </w:pPr>
      <w:r>
        <w:rPr>
          <w:rFonts w:cs="Arial"/>
        </w:rPr>
        <w:t>Lv J, Pu C, Chen W. Cost effectiveness of definitive treatment strategies for autonomously functioning thyroid nodules. Clinical Endocrinology. 2024;100(1):39–47.</w:t>
      </w:r>
    </w:p>
    <w:p w14:paraId="55825A28">
      <w:pPr>
        <w:widowControl w:val="0"/>
        <w:numPr>
          <w:ilvl w:val="0"/>
          <w:numId w:val="1"/>
        </w:numPr>
        <w:rPr>
          <w:rFonts w:cs="Arial"/>
        </w:rPr>
      </w:pPr>
      <w:r>
        <w:rPr>
          <w:rFonts w:cs="Arial"/>
        </w:rPr>
        <w:t>Meng D, Zhang W, Liu Y. Plant-derived alkaloids as a potential source of treatment for colorectal cancer: A comprehensive review. Frontiers in Pharmacology. 2024;15:1–15.</w:t>
      </w:r>
    </w:p>
    <w:p w14:paraId="68378153">
      <w:pPr>
        <w:widowControl w:val="0"/>
        <w:numPr>
          <w:ilvl w:val="0"/>
          <w:numId w:val="1"/>
        </w:numPr>
        <w:rPr>
          <w:rFonts w:cs="Arial"/>
        </w:rPr>
      </w:pPr>
      <w:r>
        <w:rPr>
          <w:rFonts w:cs="Arial"/>
        </w:rPr>
        <w:t>Deng J, Wang L, Zhang H, et al. Effects of sanjie xiaoying fang combined with levothyroxine in treatment of benign thyroid nodules: A clinical study. Evidence-Based Complementary and Alternative Medicine. 2024;2024:1–8.</w:t>
      </w:r>
    </w:p>
    <w:p w14:paraId="07D55446">
      <w:pPr>
        <w:widowControl w:val="0"/>
        <w:numPr>
          <w:ilvl w:val="0"/>
          <w:numId w:val="1"/>
        </w:numPr>
        <w:rPr>
          <w:rFonts w:cs="Arial"/>
        </w:rPr>
      </w:pPr>
      <w:r>
        <w:rPr>
          <w:rFonts w:cs="Arial"/>
          <w:color w:val="FF69B4"/>
        </w:rPr>
        <w:t>Ru J, Li P, Wang J, Zhou W, Li B, Huang C, et al. TCMSP: a database of systems pharmacology for drug discovery from herbal medicines. J Cheminform. 2014;6:13. doi:10.1186/1758-2946-6-13</w:t>
      </w:r>
    </w:p>
    <w:p w14:paraId="50BFD77E">
      <w:pPr>
        <w:widowControl w:val="0"/>
        <w:numPr>
          <w:ilvl w:val="0"/>
          <w:numId w:val="1"/>
        </w:numPr>
        <w:rPr>
          <w:rFonts w:cs="Arial"/>
        </w:rPr>
      </w:pPr>
      <w:r>
        <w:rPr>
          <w:rFonts w:cs="Arial"/>
          <w:color w:val="FF69B4"/>
        </w:rPr>
        <w:t>Kim S, Chen J, Cheng T, Gindulyte A, He J, He S, et al. PubChem 2023 update. Nucleic Acids Res. 2023;51(D1):D1373-D1380. doi:10.1093/nar/gkac956</w:t>
      </w:r>
    </w:p>
    <w:p w14:paraId="024F618C">
      <w:pPr>
        <w:widowControl w:val="0"/>
        <w:numPr>
          <w:ilvl w:val="0"/>
          <w:numId w:val="1"/>
        </w:numPr>
        <w:rPr>
          <w:rFonts w:cs="Arial"/>
        </w:rPr>
      </w:pPr>
      <w:r>
        <w:rPr>
          <w:rFonts w:cs="Arial"/>
          <w:color w:val="FF69B4"/>
        </w:rPr>
        <w:t>Gilson MK, Liu T, Baitaluk M, Nicola G, Hwang L, Chong J. BindingDB in 2015: A public database for medicinal chemistry, computational chemistry and systems pharmacology. Nucleic Acids Res. 2016;44(D1):D1045-D1053. doi:10.1093/nar/gkv1072</w:t>
      </w:r>
    </w:p>
    <w:p w14:paraId="2C23BF9F">
      <w:pPr>
        <w:widowControl w:val="0"/>
        <w:numPr>
          <w:ilvl w:val="0"/>
          <w:numId w:val="1"/>
        </w:numPr>
        <w:rPr>
          <w:rFonts w:cs="Arial"/>
        </w:rPr>
      </w:pPr>
      <w:r>
        <w:rPr>
          <w:rFonts w:cs="Arial"/>
          <w:color w:val="FF69B4"/>
        </w:rPr>
        <w:t>Safran M, Dalah I, Alexander J, Rosen N, Iny Stein T, Shmoish M, et al. GeneCards Version 3: the human gene integrator. Database (Oxford). 2010;2010:baq020. doi:10.1093/database/baq020</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color w:val="FF69B4"/>
        </w:rPr>
        <w:t>O'Boyle NM, Banck M, James CA, Morley C, Vandermeersch T, Hutchison GR. Open Babel: An open chemical toolbox. J Cheminform. 2011;3:33. doi:10.1186/1758-2946-3-33</w:t>
      </w:r>
    </w:p>
    <w:p w14:paraId="5E004D45">
      <w:pPr>
        <w:widowControl w:val="0"/>
        <w:numPr>
          <w:ilvl w:val="0"/>
          <w:numId w:val="1"/>
        </w:numPr>
        <w:rPr>
          <w:rFonts w:cs="Arial"/>
        </w:rPr>
      </w:pPr>
      <w:r>
        <w:rPr>
          <w:rFonts w:cs="Arial"/>
          <w:color w:val="FF69B4"/>
        </w:rPr>
        <w:t>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2021;49(D1):D437-D451. doi:10.1093/nar/gkaa1038</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2A8F9556">
      <w:pPr>
        <w:widowControl w:val="0"/>
        <w:numPr>
          <w:ilvl w:val="0"/>
          <w:numId w:val="1"/>
        </w:numPr>
        <w:rPr>
          <w:rFonts w:cs="Arial"/>
        </w:rPr>
      </w:pPr>
      <w:r>
        <w:rPr>
          <w:rFonts w:cs="Arial"/>
        </w:rPr>
        <w:t>Zhang Y et al. Visualization of enrichment results in GO and KEGG pathways using r packages. Bioinformatics. 2020;36(11):3435–3437.</w:t>
      </w:r>
    </w:p>
    <w:p w14:paraId="7413F686">
      <w:pPr>
        <w:widowControl w:val="0"/>
        <w:numPr>
          <w:ilvl w:val="0"/>
          <w:numId w:val="1"/>
        </w:numPr>
        <w:rPr>
          <w:rFonts w:cs="Arial"/>
        </w:rPr>
      </w:pPr>
      <w:r>
        <w:rPr>
          <w:rFonts w:cs="Arial"/>
        </w:rPr>
        <w:t>Chen H et al. Data visualization in bioinformatics: A review of tools and methods. Briefings in Bioinformatics. 2021;22(6):2235–2250.</w:t>
      </w:r>
    </w:p>
    <w:p w14:paraId="7FF06382">
      <w:pPr>
        <w:widowControl w:val="0"/>
        <w:numPr>
          <w:ilvl w:val="0"/>
          <w:numId w:val="1"/>
        </w:numPr>
        <w:rPr>
          <w:rFonts w:cs="Arial"/>
        </w:rPr>
      </w:pPr>
      <w:r>
        <w:rPr>
          <w:rFonts w:cs="Arial"/>
          <w:color w:val="FF69B4"/>
        </w:rPr>
        <w:t>Heydarzadeh S, Kia SK, Zarkesh M, Pakizehkar S, Hosseinzadeh S, Hedayati M. The cross-talk between polyphenols and the target enzymes related to oxidative stress-induced thyroid cancer. Oxid Med Cell Longev. 2022;2022:2724324. doi:10.1155/2022/2724324</w:t>
      </w:r>
    </w:p>
    <w:p w14:paraId="696AA919">
      <w:pPr>
        <w:widowControl w:val="0"/>
        <w:numPr>
          <w:ilvl w:val="0"/>
          <w:numId w:val="1"/>
        </w:numPr>
        <w:rPr>
          <w:rFonts w:cs="Arial"/>
        </w:rPr>
      </w:pPr>
      <w:r>
        <w:rPr>
          <w:rFonts w:cs="Arial"/>
          <w:color w:val="FF69B4"/>
        </w:rPr>
        <w:t>Cazarin J, Dupuy C, Pires de Carvalho D. Redox homeostasis in thyroid cancer: implications in Na+/I- symporter (NIS) regulation. Int J Mol Sci. 2022;23(11):6129. doi:10.3390/ijms23116129</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color w:val="FF69B4"/>
        </w:rPr>
        <w:t>More P, Syed MMK, Basu S. Nanoparticle-mediated mitochondrial damage induces apoptosis in cancer. ACS Appl Mater Interfaces. 2016;8(21):13253-13264. doi:10.1021/acsami.6b00263</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