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表1 当前检索记录及字段检查结果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指标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记录数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分母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比例（%）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原式检索记录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395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395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100.00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其中期刊记录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394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395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99.75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具有英文语言标记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257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395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65.06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具有作者关键词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207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394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52.54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缺少作者关键词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187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394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47.46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无任何关键词字段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186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394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47.21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无机构字段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50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394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12.69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暂标排除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202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395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51.14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尚未暂标排除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193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395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48.86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扩展检索候选记录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604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不适用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不适用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扩展新增候选记录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209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不适用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20"/>
              </w:rPr>
              <w:t>不适用</w:t>
            </w:r>
          </w:p>
        </w:tc>
      </w:tr>
    </w:tbl>
    <w:p>
      <w:r>
        <w:t>注：数据来自本项目2026年10月11日保存的检索记录及本轮独立复算，非最终纳入集。作者关键词按PubMed XML中NOTNLM来源识别。1条记录仅含旧版NLM索引词，故187条缺少作者关键词与186条无任何关键词字段是不同指标；机构与关键词缺项可重叠。604条扩展记录包含全部395条原式记录，209条为集合差集。未对扩展候选作完整资格筛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表1｜当前检索记录检查｜不是最终纳入样本统计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</w:pPr>
    <w:rPr>
      <w:rFonts w:ascii="Times New Roman" w:hAnsi="Times New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60" w:lineRule="auto"/>
    </w:pPr>
    <w:rPr>
      <w:rFonts w:ascii="Times New Roman" w:hAnsi="Times New Roman" w:eastAsia="Noto Serif CJK SC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60" w:lineRule="auto"/>
    </w:pPr>
    <w:rPr>
      <w:rFonts w:ascii="Times New Roman" w:hAnsi="Times New Roman" w:eastAsia="Noto Serif CJK SC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00" w:line="360" w:lineRule="auto"/>
      <w:outlineLvl w:val="0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60" w:lineRule="auto"/>
      <w:outlineLvl w:val="1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360" w:lineRule="auto"/>
      <w:contextualSpacing/>
    </w:pPr>
    <w:rPr>
      <w:rFonts w:asciiTheme="majorHAnsi" w:eastAsiaTheme="majorEastAsia" w:hAnsiTheme="majorHAnsi" w:cstheme="majorBidi" w:ascii="Times New Roman" w:hAnsi="Times New Roman" w:eastAsia="Noto Serif CJK SC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60" w:lineRule="auto" w:after="100"/>
    </w:pPr>
    <w:rPr>
      <w:rFonts w:ascii="Times New Roman" w:hAnsi="Times New Roman" w:eastAsia="Noto Serif CJK SC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