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补充材料S1：已保存检索策略</w:t>
      </w:r>
    </w:p>
    <w:p>
      <w:r>
        <w:t>本材料中的395/604条结果来自原保存时点，未在本轮重新检索替换。主检索策略尚需在双库正式分析前冻结。</w:t>
      </w:r>
    </w:p>
    <w:p>
      <w:pPr>
        <w:pStyle w:val="Heading2"/>
      </w:pPr>
      <w:r>
        <w:t>2.1 用户原式</w:t>
      </w:r>
    </w:p>
    <w:p>
      <w:r>
        <w:t>WoS Core Collection（TS）：</w:t>
      </w:r>
    </w:p>
    <w:p>
      <w:pPr>
        <w:spacing w:line="240" w:lineRule="auto"/>
      </w:pPr>
      <w:r>
        <w:rPr>
          <w:sz w:val="20"/>
        </w:rPr>
        <w:t>TS=((acupuncture OR electroacupuncture OR moxibustion OR fire needle OR dry needle)</w:t>
      </w:r>
    </w:p>
    <w:p>
      <w:pPr>
        <w:spacing w:line="240" w:lineRule="auto"/>
      </w:pPr>
      <w:r>
        <w:rPr>
          <w:sz w:val="20"/>
        </w:rPr>
        <w:t>AND (spasm OR spasticity))</w:t>
      </w:r>
    </w:p>
    <w:p>
      <w:r>
        <w:t>PubMed（排版引号统一为ASCII；多词短语按短语检索）：</w:t>
      </w:r>
    </w:p>
    <w:p>
      <w:pPr>
        <w:spacing w:line="240" w:lineRule="auto"/>
      </w:pPr>
      <w:r>
        <w:rPr>
          <w:sz w:val="20"/>
        </w:rPr>
        <w:t>(("Acupuncture Therapy"[MeSH] OR acupuncture[Title/Abstract]</w:t>
      </w:r>
    </w:p>
    <w:p>
      <w:pPr>
        <w:spacing w:line="240" w:lineRule="auto"/>
      </w:pPr>
      <w:r>
        <w:rPr>
          <w:sz w:val="20"/>
        </w:rPr>
        <w:t>OR electroacupuncture[Title/Abstract] OR moxibustion[Title/Abstract]</w:t>
      </w:r>
    </w:p>
    <w:p>
      <w:pPr>
        <w:spacing w:line="240" w:lineRule="auto"/>
      </w:pPr>
      <w:r>
        <w:rPr>
          <w:sz w:val="20"/>
        </w:rPr>
        <w:t>OR "dry needle"[Title/Abstract] OR "fire needle"[Title/Abstract])</w:t>
      </w:r>
    </w:p>
    <w:p>
      <w:pPr>
        <w:spacing w:line="240" w:lineRule="auto"/>
      </w:pPr>
      <w:r>
        <w:rPr>
          <w:sz w:val="20"/>
        </w:rPr>
        <w:t>AND ("spasm"[MeSH] OR spasm[Title/Abstract] OR spasticity[Title/Abstract]))</w:t>
      </w:r>
    </w:p>
    <w:p>
      <w:pPr>
        <w:spacing w:line="240" w:lineRule="auto"/>
      </w:pPr>
      <w:r>
        <w:rPr>
          <w:sz w:val="20"/>
        </w:rPr>
        <w:t>AND ("1000/01/01"[Date - Publication] : "2026/10/10"[Date - Publication])</w:t>
      </w:r>
    </w:p>
    <w:p>
      <w:r>
        <w:t>实际NCBI返回的querytranslation完整保存于raw/pubmed_esearch.json。未在检索阶段预先限制语言或出版类型，以便准确记录英文、病例报告、社论和信函等筛选过程。最终仅保留英文论文。实际检索日期与发表截止日期分别报告；本次检索不重建2026-10-10当天的数据库历史快照。建库以来表示不人为设置近十年等起始年限制，不能把第一篇纳入文献的年份误写成数据库建库年。</w:t>
      </w:r>
    </w:p>
    <w:p>
      <w:pPr>
        <w:pStyle w:val="Heading2"/>
      </w:pPr>
      <w:r>
        <w:t>2.2 单独的敏感性试检</w:t>
      </w:r>
    </w:p>
    <w:p>
      <w:pPr>
        <w:spacing w:line="240" w:lineRule="auto"/>
      </w:pPr>
      <w:r>
        <w:rPr>
          <w:sz w:val="20"/>
        </w:rPr>
        <w:t>(("Acupuncture Therapy"[MeSH Terms] OR acupuncture[Title/Abstract]</w:t>
      </w:r>
    </w:p>
    <w:p>
      <w:pPr>
        <w:spacing w:line="240" w:lineRule="auto"/>
      </w:pPr>
      <w:r>
        <w:rPr>
          <w:sz w:val="20"/>
        </w:rPr>
        <w:t>OR electroacupuncture[Title/Abstract] OR "electro-acupuncture"[Title/Abstract]</w:t>
      </w:r>
    </w:p>
    <w:p>
      <w:pPr>
        <w:spacing w:line="240" w:lineRule="auto"/>
      </w:pPr>
      <w:r>
        <w:rPr>
          <w:sz w:val="20"/>
        </w:rPr>
        <w:t>OR moxibustion[Title/Abstract] OR "dry needl*"[Title/Abstract]</w:t>
      </w:r>
    </w:p>
    <w:p>
      <w:pPr>
        <w:spacing w:line="240" w:lineRule="auto"/>
      </w:pPr>
      <w:r>
        <w:rPr>
          <w:sz w:val="20"/>
        </w:rPr>
        <w:t>OR "fire needl*"[Title/Abstract])</w:t>
      </w:r>
    </w:p>
    <w:p>
      <w:pPr>
        <w:spacing w:line="240" w:lineRule="auto"/>
      </w:pPr>
      <w:r>
        <w:rPr>
          <w:sz w:val="20"/>
        </w:rPr>
        <w:t>AND ("Spasm"[MeSH Terms] OR "Muscle Spasticity"[MeSH Terms]</w:t>
      </w:r>
    </w:p>
    <w:p>
      <w:pPr>
        <w:spacing w:line="240" w:lineRule="auto"/>
      </w:pPr>
      <w:r>
        <w:rPr>
          <w:sz w:val="20"/>
        </w:rPr>
        <w:t>OR spasm*[Title/Abstract] OR spastic*[Title/Abstract]))</w:t>
      </w:r>
    </w:p>
    <w:p>
      <w:pPr>
        <w:spacing w:line="240" w:lineRule="auto"/>
      </w:pPr>
      <w:r>
        <w:rPr>
          <w:sz w:val="20"/>
        </w:rPr>
        <w:t>AND ("1000/01/01"[Date - Publication] : "2026/10/10"[Date - Publication])</w:t>
      </w:r>
    </w:p>
    <w:p>
      <w:r>
        <w:t>该式作为查全率诊断，不替换用户原式；结果与新增PMID分开保存。如果采用扩展式为主检索，必须同步修订WoS、重新导出两库，记录版本，不把两个口径混用。词形扩展新增记录并不都符合纳入标准。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224" w:bottom="1224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补充材料S1｜已保存检索策略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60" w:lineRule="auto" w:after="100"/>
    </w:pPr>
    <w:rPr>
      <w:rFonts w:ascii="Times New Roman" w:hAnsi="Times New Roman" w:eastAsia="Noto Serif CJK SC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widowControl/>
      <w:tabs>
        <w:tab w:val="center" w:pos="4680"/>
        <w:tab w:val="right" w:pos="9360"/>
      </w:tabs>
      <w:spacing w:after="100" w:line="360" w:lineRule="auto"/>
    </w:pPr>
    <w:rPr>
      <w:rFonts w:ascii="Times New Roman" w:hAnsi="Times New Roman" w:eastAsia="Noto Serif CJK SC"/>
      <w:color w:val="000000"/>
      <w:sz w:val="16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widowControl/>
      <w:tabs>
        <w:tab w:val="center" w:pos="4680"/>
        <w:tab w:val="right" w:pos="9360"/>
      </w:tabs>
      <w:spacing w:after="100" w:line="360" w:lineRule="auto"/>
    </w:pPr>
    <w:rPr>
      <w:rFonts w:ascii="Times New Roman" w:hAnsi="Times New Roman" w:eastAsia="Noto Serif CJK SC"/>
      <w:color w:val="000000"/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480" w:after="100" w:line="360" w:lineRule="auto"/>
      <w:outlineLvl w:val="0"/>
    </w:pPr>
    <w:rPr>
      <w:rFonts w:asciiTheme="majorHAnsi" w:eastAsiaTheme="majorEastAsia" w:hAnsiTheme="majorHAnsi" w:cstheme="majorBidi" w:ascii="Times New Roman" w:hAnsi="Times New Roman" w:eastAsia="Noto Serif CJK SC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00" w:after="100" w:line="360" w:lineRule="auto"/>
      <w:outlineLvl w:val="1"/>
    </w:pPr>
    <w:rPr>
      <w:rFonts w:asciiTheme="majorHAnsi" w:eastAsiaTheme="majorEastAsia" w:hAnsiTheme="majorHAnsi" w:cstheme="majorBidi" w:ascii="Times New Roman" w:hAnsi="Times New Roman" w:eastAsia="Noto Serif CJK SC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pBdr>
        <w:bottom w:val="single" w:sz="8" w:space="4" w:color="4F81BD" w:themeColor="accent1"/>
      </w:pBdr>
      <w:spacing w:after="100" w:line="360" w:lineRule="auto"/>
      <w:contextualSpacing/>
    </w:pPr>
    <w:rPr>
      <w:rFonts w:asciiTheme="majorHAnsi" w:eastAsiaTheme="majorEastAsia" w:hAnsiTheme="majorHAnsi" w:cstheme="majorBidi" w:ascii="Times New Roman" w:hAnsi="Times New Roman" w:eastAsia="Noto Serif CJK SC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widowControl/>
      <w:spacing w:line="360" w:lineRule="auto" w:after="100"/>
    </w:pPr>
    <w:rPr>
      <w:rFonts w:ascii="Times New Roman" w:hAnsi="Times New Roman" w:eastAsia="Noto Serif CJK SC"/>
      <w:b/>
      <w:bCs/>
      <w:color w:val="000000"/>
      <w:sz w:val="22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