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678e835bcbef9ef2af77c69e05ffe1bd3f8479"/>
    <w:p>
      <w:pPr>
        <w:pStyle w:val="Heading1"/>
      </w:pPr>
      <w:r>
        <w:t xml:space="preserve">ThyGlycoPortal: </w:t>
      </w:r>
      <w:r>
        <w:rPr>
          <w:rFonts w:hint="eastAsia"/>
        </w:rPr>
        <w:t xml:space="preserve">基于真实文献数据的甲状腺癌糖基化交互分析平台构建与验证</w:t>
      </w:r>
    </w:p>
    <w:p>
      <w:pPr>
        <w:pStyle w:val="BlockText"/>
      </w:pPr>
      <w:r>
        <w:rPr>
          <w:rFonts w:hint="eastAsia"/>
          <w:b/>
          <w:bCs/>
        </w:rPr>
        <w:t xml:space="preserve">建议英文题目</w:t>
      </w:r>
      <w:r>
        <w:t xml:space="preserve">: ThyGlycoPortal: a literature-derived interactive platform for thyroid cancer glycomics integrating real published summary statistics</w:t>
      </w:r>
    </w:p>
    <w:p>
      <w:r>
        <w:pict>
          <v:rect style="width:0;height:1.5pt" o:hralign="center" o:hrstd="t" o:hr="t"/>
        </w:pict>
      </w:r>
    </w:p>
    <w:bookmarkStart w:id="9" w:name="摘要-abstract"/>
    <w:p>
      <w:pPr>
        <w:pStyle w:val="Heading2"/>
      </w:pPr>
      <w:r>
        <w:rPr>
          <w:rFonts w:hint="eastAsia"/>
        </w:rPr>
        <w:t xml:space="preserve">摘要</w:t>
      </w:r>
      <w:r>
        <w:t xml:space="preserve"> (Abstract)</w:t>
      </w:r>
    </w:p>
    <w:p>
      <w:pPr>
        <w:pStyle w:val="FirstParagraph"/>
      </w:pPr>
      <w:r>
        <w:rPr>
          <w:rFonts w:hint="eastAsia"/>
          <w:b/>
          <w:bCs/>
        </w:rPr>
        <w:t xml:space="preserve">背景</w:t>
      </w:r>
      <w:r>
        <w:rPr>
          <w:rFonts w:hint="eastAsia"/>
        </w:rPr>
        <w:t xml:space="preserve">：甲状腺癌（Thyroid</w:t>
      </w:r>
      <w:r>
        <w:t xml:space="preserve"> Cancer, </w:t>
      </w:r>
      <w:r>
        <w:rPr>
          <w:rFonts w:hint="eastAsia"/>
        </w:rPr>
        <w:t xml:space="preserve">TC）是全球发病率增长最快的恶性肿瘤之一。蛋白质糖基化修饰在肿瘤发生、侵袭和转移中发挥关键调控作用，已成为液体活检新型标志物研究的前沿领域。然而，当前甲状腺癌糖组学研究成果呈高度碎片化分布，缺乏专门的知识整合平台，临床医生和研究人员难以系统性地获取、比较和转化这些发现。</w:t>
      </w:r>
    </w:p>
    <w:p>
      <w:pPr>
        <w:pStyle w:val="BodyText"/>
      </w:pPr>
      <w:r>
        <w:rPr>
          <w:rFonts w:hint="eastAsia"/>
          <w:b/>
          <w:bCs/>
        </w:rPr>
        <w:t xml:space="preserve">方法</w:t>
      </w:r>
      <w:r>
        <w:rPr>
          <w:rFonts w:hint="eastAsia"/>
        </w:rPr>
        <w:t xml:space="preserve">：本研究系统检索PubMed/Medline数据库（截至2025年），按照系统评价与元分析优先报告规范（PRISMA）流程筛选纳入11项研究（其中9项提供原始糖组学数据的原创研究，2篇用于背景知识补充的综述）。建立双人独立提取+交叉验证的数据策展流程，从文献图表和表格中提取真实汇总统计量（均值±标准差、中位数、AUC、p值等），并建立严格的数据溯源与质量保证体系。采用SQLite关系型数据库（第三范式）整合糖链结构、临床分组、生物标志物、糖基转移酶网络和TCGA基因表达数据，基于R</w:t>
      </w:r>
      <w:r>
        <w:t xml:space="preserve"> </w:t>
      </w:r>
      <w:r>
        <w:rPr>
          <w:rFonts w:hint="eastAsia"/>
        </w:rPr>
        <w:t xml:space="preserve">Shiny构建交互式Web平台。依据FAIR原则进行数据可发现性、可访问性、互操作性和可重用性自评估。</w:t>
      </w:r>
    </w:p>
    <w:p>
      <w:pPr>
        <w:pStyle w:val="BodyText"/>
      </w:pPr>
      <w:r>
        <w:rPr>
          <w:rFonts w:hint="eastAsia"/>
          <w:b/>
          <w:bCs/>
        </w:rPr>
        <w:t xml:space="preserve">结果</w:t>
      </w:r>
      <w:r>
        <w:rPr>
          <w:rFonts w:hint="eastAsia"/>
        </w:rPr>
        <w:t xml:space="preserve">：ThyGlycoPortal</w:t>
      </w:r>
      <w:r>
        <w:t xml:space="preserve"> </w:t>
      </w:r>
      <w:r>
        <w:rPr>
          <w:rFonts w:hint="eastAsia"/>
        </w:rPr>
        <w:t xml:space="preserve">v1.0涵盖9项提供原始数据的原创研究（2018–2025）、2篇背景综述、24种核心N-糖链结构、17个临床分组、7个验证/候选生物标志物、8个关键糖基转移酶和12条酶-糖链调控关联。平台收录了20对TCGA-THCA配对样本的糖基因真实median</w:t>
      </w:r>
      <w:r>
        <w:t xml:space="preserve"> </w:t>
      </w:r>
      <w:r>
        <w:rPr>
          <w:rFonts w:hint="eastAsia"/>
        </w:rPr>
        <w:t xml:space="preserve">RPKM数据（Bones</w:t>
      </w:r>
      <w:r>
        <w:t xml:space="preserve"> et al. </w:t>
      </w:r>
      <w:r>
        <w:rPr>
          <w:rFonts w:hint="eastAsia"/>
        </w:rPr>
        <w:t xml:space="preserve">2018）。文献计量学分析显示，该领域在2018年后进入活跃期，MALDI-TOF</w:t>
      </w:r>
      <w:r>
        <w:t xml:space="preserve"> </w:t>
      </w:r>
      <w:r>
        <w:rPr>
          <w:rFonts w:hint="eastAsia"/>
        </w:rPr>
        <w:t xml:space="preserve">MS占主导方法学（72.7%），样本类型以血清（45.5%）和组织（36.4%）为主。平台提供9大交互模块，支持3类典型应用场景：临床决策支持、跨研究糖链比较、多组学整合分析。FAIR自评总分为4.0/5.0。</w:t>
      </w:r>
    </w:p>
    <w:p>
      <w:pPr>
        <w:pStyle w:val="BodyText"/>
      </w:pPr>
      <w:r>
        <w:rPr>
          <w:rFonts w:hint="eastAsia"/>
          <w:b/>
          <w:bCs/>
        </w:rPr>
        <w:t xml:space="preserve">结论</w:t>
      </w:r>
      <w:r>
        <w:rPr>
          <w:rFonts w:hint="eastAsia"/>
        </w:rPr>
        <w:t xml:space="preserve">：ThyGlycoPortal是首个专注于甲状腺癌的糖基化交互分析平台，填补了该领域专用知识库和临床转化工具的空白。平台所有数据均来源于已发表文献的真实汇总统计量或公开数据库（TCGA），为甲状腺癌糖组学知识的系统整合与临床转化提供了可靠的数据基础设施。</w:t>
      </w:r>
    </w:p>
    <w:p>
      <w:pPr>
        <w:pStyle w:val="BodyText"/>
      </w:pPr>
      <w:r>
        <w:rPr>
          <w:rFonts w:hint="eastAsia"/>
          <w:b/>
          <w:bCs/>
        </w:rPr>
        <w:t xml:space="preserve">关键词</w:t>
      </w:r>
      <w:r>
        <w:rPr>
          <w:rFonts w:hint="eastAsia"/>
        </w:rPr>
        <w:t xml:space="preserve">：甲状腺癌；糖基化；糖组学；生物标志物；交互平台；数据库；真实数据；FAIR原则</w:t>
      </w:r>
    </w:p>
    <w:p>
      <w:r>
        <w:pict>
          <v:rect style="width:0;height:1.5pt" o:hralign="center" o:hrstd="t" o:hr="t"/>
        </w:pict>
      </w:r>
    </w:p>
    <w:bookmarkEnd w:id="9"/>
    <w:bookmarkStart w:id="15" w:name="引言-introduction"/>
    <w:p>
      <w:pPr>
        <w:pStyle w:val="Heading2"/>
      </w:pPr>
      <w:r>
        <w:t xml:space="preserve">1. </w:t>
      </w:r>
      <w:r>
        <w:rPr>
          <w:rFonts w:hint="eastAsia"/>
        </w:rPr>
        <w:t xml:space="preserve">引言</w:t>
      </w:r>
      <w:r>
        <w:t xml:space="preserve"> (Introduction)</w:t>
      </w:r>
    </w:p>
    <w:bookmarkStart w:id="10" w:name="甲状腺癌的临床挑战与精准医学需求"/>
    <w:p>
      <w:pPr>
        <w:pStyle w:val="Heading3"/>
      </w:pPr>
      <w:r>
        <w:t xml:space="preserve">1.1 </w:t>
      </w:r>
      <w:r>
        <w:rPr>
          <w:rFonts w:hint="eastAsia"/>
        </w:rPr>
        <w:t xml:space="preserve">甲状腺癌的临床挑战与精准医学需求</w:t>
      </w:r>
    </w:p>
    <w:p>
      <w:pPr>
        <w:pStyle w:val="FirstParagraph"/>
      </w:pPr>
      <w:r>
        <w:rPr>
          <w:rFonts w:hint="eastAsia"/>
        </w:rPr>
        <w:t xml:space="preserve">甲状腺癌是内分泌系统最常见的恶性肿瘤，全球年龄标准化发病率在过去三十年中增长了约300%[1]。2020年全球新发病例约58.6万例，位列女性常见癌症第5位[2]。其中，乳头状甲状腺癌（Papillary</w:t>
      </w:r>
      <w:r>
        <w:t xml:space="preserve"> Thyroid Carcinoma, </w:t>
      </w:r>
      <w:r>
        <w:rPr>
          <w:rFonts w:hint="eastAsia"/>
        </w:rPr>
        <w:t xml:space="preserve">PTC）约占全部甲状腺癌的85%以上，尽管总体10年生存率超过90%，但仍有10–20%的患者出现局部复发、颈部淋巴结转移（Lymph</w:t>
      </w:r>
      <w:r>
        <w:t xml:space="preserve"> Node Metastasis, </w:t>
      </w:r>
      <w:r>
        <w:rPr>
          <w:rFonts w:hint="eastAsia"/>
        </w:rPr>
        <w:t xml:space="preserve">LNM）或远处转移，显著影响预后和生活质量[3,4]。</w:t>
      </w:r>
    </w:p>
    <w:p>
      <w:pPr>
        <w:pStyle w:val="BodyText"/>
      </w:pPr>
      <w:r>
        <w:rPr>
          <w:rFonts w:hint="eastAsia"/>
        </w:rPr>
        <w:t xml:space="preserve">当前甲状腺癌的术前诊断主要依赖超声影像学检查和超声引导下细针穿刺活检（FNA）。然而，FNA细胞学诊断存在固有的局限性：约15–30%的结节被归类为”不确定”（Bethesda</w:t>
      </w:r>
      <w:r>
        <w:t xml:space="preserve"> </w:t>
      </w:r>
      <w:r>
        <w:rPr>
          <w:rFonts w:hint="eastAsia"/>
        </w:rPr>
        <w:t xml:space="preserve">III–IV类），这部分患者往往需要通过诊断性手术切除来明确病理诊断，导致不必要的手术创伤和医疗负担[5,6]。因此，开发客观、无创、可重复的辅助诊断标志物，以及能够预测转移和复发风险的预后分层工具，是甲状腺癌精准医学领域的迫切需求[7]。</w:t>
      </w:r>
    </w:p>
    <w:bookmarkEnd w:id="10"/>
    <w:bookmarkStart w:id="11" w:name="糖基化修饰在癌症生物学中的核心地位"/>
    <w:p>
      <w:pPr>
        <w:pStyle w:val="Heading3"/>
      </w:pPr>
      <w:r>
        <w:t xml:space="preserve">1.2 </w:t>
      </w:r>
      <w:r>
        <w:rPr>
          <w:rFonts w:hint="eastAsia"/>
        </w:rPr>
        <w:t xml:space="preserve">糖基化修饰在癌症生物学中的核心地位</w:t>
      </w:r>
    </w:p>
    <w:p>
      <w:pPr>
        <w:pStyle w:val="FirstParagraph"/>
      </w:pPr>
      <w:r>
        <w:rPr>
          <w:rFonts w:hint="eastAsia"/>
        </w:rPr>
        <w:t xml:space="preserve">蛋白质糖基化是真核生物中最普遍、最复杂的翻译后修饰之一，据估计超过50%的人类蛋白质带有糖链修饰[8]。糖基化广泛参与蛋白质折叠、细胞间识别、信号转导、免疫应答调控和肿瘤微环境塑造等关键生物学过程[9]。在肿瘤发生发展过程中，糖基化模式发生系统性重编程，表现为：</w:t>
      </w:r>
    </w:p>
    <w:p>
      <w:pPr>
        <w:pStyle w:val="Compact"/>
        <w:numPr>
          <w:ilvl w:val="0"/>
          <w:numId w:val="1001"/>
        </w:numPr>
      </w:pPr>
      <w:r>
        <w:rPr>
          <w:rFonts w:hint="eastAsia"/>
          <w:b/>
          <w:bCs/>
        </w:rPr>
        <w:t xml:space="preserve">岩藻糖基化升高</w:t>
      </w:r>
      <w:r>
        <w:rPr>
          <w:rFonts w:hint="eastAsia"/>
        </w:rPr>
        <w:t xml:space="preserve">：核心岩藻糖基化和外周岩藻糖基化在多种癌症中上调，与肿瘤侵袭性相关[10]；</w:t>
      </w:r>
    </w:p>
    <w:p>
      <w:pPr>
        <w:pStyle w:val="Compact"/>
        <w:numPr>
          <w:ilvl w:val="0"/>
          <w:numId w:val="1001"/>
        </w:numPr>
      </w:pPr>
      <w:r>
        <w:rPr>
          <w:rFonts w:hint="eastAsia"/>
          <w:b/>
          <w:bCs/>
        </w:rPr>
        <w:t xml:space="preserve">半乳糖基化降低</w:t>
      </w:r>
      <w:r>
        <w:rPr>
          <w:rFonts w:hint="eastAsia"/>
        </w:rPr>
        <w:t xml:space="preserve">：末端半乳糖残基减少（如G0F增加、G1F/G2F减少）是多种恶性肿瘤的共同特征[11]；</w:t>
      </w:r>
    </w:p>
    <w:p>
      <w:pPr>
        <w:pStyle w:val="Compact"/>
        <w:numPr>
          <w:ilvl w:val="0"/>
          <w:numId w:val="1001"/>
        </w:numPr>
      </w:pPr>
      <w:r>
        <w:rPr>
          <w:rFonts w:hint="eastAsia"/>
          <w:b/>
          <w:bCs/>
        </w:rPr>
        <w:t xml:space="preserve">唾液酸化异常</w:t>
      </w:r>
      <w:r>
        <w:rPr>
          <w:rFonts w:hint="eastAsia"/>
        </w:rPr>
        <w:t xml:space="preserve">：α2,3-和α2,6-连接唾液酸的比例改变影响肿瘤细胞的免疫逃逸和转移潜能[12]；</w:t>
      </w:r>
    </w:p>
    <w:p>
      <w:pPr>
        <w:pStyle w:val="Compact"/>
        <w:numPr>
          <w:ilvl w:val="0"/>
          <w:numId w:val="1001"/>
        </w:numPr>
      </w:pPr>
      <w:r>
        <w:rPr>
          <w:rFonts w:hint="eastAsia"/>
          <w:b/>
          <w:bCs/>
        </w:rPr>
        <w:t xml:space="preserve">分支结构增多</w:t>
      </w:r>
      <w:r>
        <w:rPr>
          <w:rFonts w:hint="eastAsia"/>
        </w:rPr>
        <w:t xml:space="preserve">：β1,6-GlcNAc分支（由MGAT5催化）与肿瘤的恶性程度和转移能力密切相关[13]。</w:t>
      </w:r>
    </w:p>
    <w:p>
      <w:pPr>
        <w:pStyle w:val="FirstParagraph"/>
      </w:pPr>
      <w:r>
        <w:rPr>
          <w:rFonts w:hint="eastAsia"/>
        </w:rPr>
        <w:t xml:space="preserve">近年来，基于血清或血浆N-糖组学的液体活检策略显示出巨大的临床转化潜力。通过高通量质谱技术（如MALDI-TOF</w:t>
      </w:r>
      <w:r>
        <w:t xml:space="preserve"> </w:t>
      </w:r>
      <w:r>
        <w:rPr>
          <w:rFonts w:hint="eastAsia"/>
        </w:rPr>
        <w:t xml:space="preserve">MS）可以在微量体液样本中同时检测数十种糖链结构的相对丰度，构建高维度的”糖指纹”用于疾病诊断和预后评估[14,15]。</w:t>
      </w:r>
    </w:p>
    <w:bookmarkEnd w:id="11"/>
    <w:bookmarkStart w:id="12" w:name="甲状腺癌糖组学研究的碎片化困境"/>
    <w:p>
      <w:pPr>
        <w:pStyle w:val="Heading3"/>
      </w:pPr>
      <w:r>
        <w:t xml:space="preserve">1.3 </w:t>
      </w:r>
      <w:r>
        <w:rPr>
          <w:rFonts w:hint="eastAsia"/>
        </w:rPr>
        <w:t xml:space="preserve">甲状腺癌糖组学研究的碎片化困境</w:t>
      </w:r>
    </w:p>
    <w:p>
      <w:pPr>
        <w:pStyle w:val="FirstParagraph"/>
      </w:pPr>
      <w:r>
        <w:rPr>
          <w:rFonts w:hint="eastAsia"/>
        </w:rPr>
        <w:t xml:space="preserve">尽管甲状腺癌糖组学研究在过去十年取得了显著进展（含9项原创研究及2篇领域综述），但核心实验数据呈高度碎片化分布。具体表现为：</w:t>
      </w:r>
    </w:p>
    <w:p>
      <w:pPr>
        <w:pStyle w:val="BodyText"/>
      </w:pPr>
      <w:r>
        <w:rPr>
          <w:rFonts w:hint="eastAsia"/>
          <w:b/>
          <w:bCs/>
        </w:rPr>
        <w:t xml:space="preserve">第一</w:t>
      </w:r>
      <w:r>
        <w:rPr>
          <w:rFonts w:hint="eastAsia"/>
        </w:rPr>
        <w:t xml:space="preserve">，研究规模小而分散。已发表的原创研究多为单中心、小样本设计（样本量通常介于20–100例之间），不同研究采用的糖链命名系统、统计方法和报告标准各异，导致跨研究比较和Meta分析困难重重。</w:t>
      </w:r>
    </w:p>
    <w:p>
      <w:pPr>
        <w:pStyle w:val="BodyText"/>
      </w:pPr>
      <w:r>
        <w:rPr>
          <w:rFonts w:hint="eastAsia"/>
          <w:b/>
          <w:bCs/>
        </w:rPr>
        <w:t xml:space="preserve">第二</w:t>
      </w:r>
      <w:r>
        <w:rPr>
          <w:rFonts w:hint="eastAsia"/>
        </w:rPr>
        <w:t xml:space="preserve">，数据可及性受限。原始糖组学数据（如质谱原始文件、个体水平糖链丰度矩阵）很少随论文公开发布，研究者通常仅报告汇总统计量（均值、标准差、AUC）和代表性图表。这限制了独立验证和二次分析的可能性。</w:t>
      </w:r>
    </w:p>
    <w:p>
      <w:pPr>
        <w:pStyle w:val="BodyText"/>
      </w:pPr>
      <w:r>
        <w:rPr>
          <w:rFonts w:hint="eastAsia"/>
          <w:b/>
          <w:bCs/>
        </w:rPr>
        <w:t xml:space="preserve">第三</w:t>
      </w:r>
      <w:r>
        <w:rPr>
          <w:rFonts w:hint="eastAsia"/>
        </w:rPr>
        <w:t xml:space="preserve">，知识整合不足。糖链变化趋势、标志物性能参数、糖基转移酶表达数据和相关临床变量散落在不同文献中，临床医生和基础研究人员缺乏统一入口来系统性地浏览、查询和整合这些发现。</w:t>
      </w:r>
    </w:p>
    <w:bookmarkEnd w:id="12"/>
    <w:bookmarkStart w:id="13" w:name="现有数据库与生物信息学工具的局限性"/>
    <w:p>
      <w:pPr>
        <w:pStyle w:val="Heading3"/>
      </w:pPr>
      <w:r>
        <w:t xml:space="preserve">1.4 </w:t>
      </w:r>
      <w:r>
        <w:rPr>
          <w:rFonts w:hint="eastAsia"/>
        </w:rPr>
        <w:t xml:space="preserve">现有数据库与生物信息学工具的局限性</w:t>
      </w:r>
    </w:p>
    <w:p>
      <w:pPr>
        <w:pStyle w:val="FirstParagraph"/>
      </w:pPr>
      <w:r>
        <w:rPr>
          <w:rFonts w:hint="eastAsia"/>
        </w:rPr>
        <w:t xml:space="preserve">当前生物医学数据生态系统中存在多个与糖组学相关的数据库和分析工具，但它们在甲状腺癌领域的适用性存在显著缺陷（表1）：</w:t>
      </w:r>
    </w:p>
    <w:p>
      <w:pPr>
        <w:pStyle w:val="BodyText"/>
      </w:pPr>
      <w:r>
        <w:rPr>
          <w:rFonts w:hint="eastAsia"/>
          <w:b/>
          <w:bCs/>
        </w:rPr>
        <w:t xml:space="preserve">通用型糖组学数据库</w:t>
      </w:r>
      <w:r>
        <w:rPr>
          <w:rFonts w:hint="eastAsia"/>
        </w:rPr>
        <w:t xml:space="preserve">如GlycoPOST[16]、UniCarbKB[17]和GlyConnect[18]主要聚焦于糖链结构注释、质谱原始数据存储或糖蛋白组学实验数据。它们虽然数据量庞大，但缺乏对特定癌种的深度整合，不提供临床标志物性能参数，也不支持交互式的跨研究比较分析。</w:t>
      </w:r>
    </w:p>
    <w:p>
      <w:pPr>
        <w:pStyle w:val="BodyText"/>
      </w:pPr>
      <w:r>
        <w:rPr>
          <w:rFonts w:hint="eastAsia"/>
          <w:b/>
          <w:bCs/>
        </w:rPr>
        <w:t xml:space="preserve">癌症多组学数据库</w:t>
      </w:r>
      <w:r>
        <w:rPr>
          <w:rFonts w:hint="eastAsia"/>
        </w:rPr>
        <w:t xml:space="preserve">如TCGA[19]和THPA[20]虽覆盖甲状腺癌，但侧重点分别为基因组/转录组和蛋白质免疫组化图像。TCGA中糖基转移酶的表达信息深埋于庞大的表达矩阵中，缺乏针对性的注释和可视化工具；THPA则完全不涉及糖链结构层面的信息。</w:t>
      </w:r>
    </w:p>
    <w:p>
      <w:pPr>
        <w:pStyle w:val="BodyText"/>
      </w:pPr>
      <w:r>
        <w:rPr>
          <w:rFonts w:hint="eastAsia"/>
        </w:rPr>
        <w:t xml:space="preserve">在数据来源方面，现有平台大多依赖作者自行上传的实验数据或从公共仓库批量下载的原始文件，对文献中已发表的汇总统计量（如均值、标准差、AUC）的系统性整合相对薄弱。对于临床医生和生物标志物研究者而言，汇总统计量往往比原始质谱数据更具直接参考价值，因为这些统计量已经过质量控制、归一化和统计检验，可直接用于标志物性能评估和临床决策建模。</w:t>
      </w:r>
    </w:p>
    <w:bookmarkEnd w:id="13"/>
    <w:bookmarkStart w:id="14" w:name="研究目标"/>
    <w:p>
      <w:pPr>
        <w:pStyle w:val="Heading3"/>
      </w:pPr>
      <w:r>
        <w:t xml:space="preserve">1.5 </w:t>
      </w:r>
      <w:r>
        <w:rPr>
          <w:rFonts w:hint="eastAsia"/>
        </w:rPr>
        <w:t xml:space="preserve">研究目标</w:t>
      </w:r>
    </w:p>
    <w:p>
      <w:pPr>
        <w:pStyle w:val="FirstParagraph"/>
      </w:pPr>
      <w:r>
        <w:rPr>
          <w:rFonts w:hint="eastAsia"/>
        </w:rPr>
        <w:t xml:space="preserve">基于上述领域空白和技术挑战，本研究旨在构建ThyGlycoPortal——一个专注于甲状腺癌糖基化研究的文献驱动型交互分析平台。本研究的核心贡献包括：</w:t>
      </w:r>
    </w:p>
    <w:p>
      <w:pPr>
        <w:pStyle w:val="Compact"/>
        <w:numPr>
          <w:ilvl w:val="0"/>
          <w:numId w:val="1002"/>
        </w:numPr>
      </w:pPr>
      <w:r>
        <w:rPr>
          <w:rFonts w:hint="eastAsia"/>
          <w:b/>
          <w:bCs/>
        </w:rPr>
        <w:t xml:space="preserve">领域专精的知识整合</w:t>
      </w:r>
      <w:r>
        <w:rPr>
          <w:rFonts w:hint="eastAsia"/>
        </w:rPr>
        <w:t xml:space="preserve">：系统收集并标准化2018–2025年间甲状腺癌糖组学文献的真实汇总统计量，建立首个该领域的专用关系型数据库；</w:t>
      </w:r>
    </w:p>
    <w:p>
      <w:pPr>
        <w:pStyle w:val="Compact"/>
        <w:numPr>
          <w:ilvl w:val="0"/>
          <w:numId w:val="1002"/>
        </w:numPr>
      </w:pPr>
      <w:r>
        <w:rPr>
          <w:rFonts w:hint="eastAsia"/>
          <w:b/>
          <w:bCs/>
        </w:rPr>
        <w:t xml:space="preserve">数据质量保证与溯源</w:t>
      </w:r>
      <w:r>
        <w:rPr>
          <w:rFonts w:hint="eastAsia"/>
        </w:rPr>
        <w:t xml:space="preserve">：建立严格的数据策展流程和文献溯源机制，确保所有展示数据均可追溯至原始同行评议文献；</w:t>
      </w:r>
    </w:p>
    <w:p>
      <w:pPr>
        <w:pStyle w:val="Compact"/>
        <w:numPr>
          <w:ilvl w:val="0"/>
          <w:numId w:val="1002"/>
        </w:numPr>
      </w:pPr>
      <w:r>
        <w:rPr>
          <w:rFonts w:hint="eastAsia"/>
          <w:b/>
          <w:bCs/>
        </w:rPr>
        <w:t xml:space="preserve">交互式临床转化工具</w:t>
      </w:r>
      <w:r>
        <w:rPr>
          <w:rFonts w:hint="eastAsia"/>
        </w:rPr>
        <w:t xml:space="preserve">：开发面向临床决策支持、跨研究比较和多组学整合的Web交互模块，降低糖组学数据的可及性门槛；</w:t>
      </w:r>
    </w:p>
    <w:p>
      <w:pPr>
        <w:pStyle w:val="Compact"/>
        <w:numPr>
          <w:ilvl w:val="0"/>
          <w:numId w:val="1002"/>
        </w:numPr>
      </w:pPr>
      <w:r>
        <w:rPr>
          <w:rFonts w:hint="eastAsia"/>
          <w:b/>
          <w:bCs/>
        </w:rPr>
        <w:t xml:space="preserve">文献驱动的数据整合范式</w:t>
      </w:r>
      <w:r>
        <w:rPr>
          <w:rFonts w:hint="eastAsia"/>
        </w:rPr>
        <w:t xml:space="preserve">：以ThyGlycoPortal为案例，探索基于已发表汇总统计量构建专病数据库的方法学路径。</w:t>
      </w:r>
    </w:p>
    <w:p>
      <w:r>
        <w:pict>
          <v:rect style="width:0;height:1.5pt" o:hralign="center" o:hrstd="t" o:hr="t"/>
        </w:pict>
      </w:r>
    </w:p>
    <w:bookmarkEnd w:id="14"/>
    <w:bookmarkEnd w:id="15"/>
    <w:bookmarkStart w:id="22" w:name="材料与方法-materials-and-methods"/>
    <w:p>
      <w:pPr>
        <w:pStyle w:val="Heading2"/>
      </w:pPr>
      <w:r>
        <w:t xml:space="preserve">2. </w:t>
      </w:r>
      <w:r>
        <w:rPr>
          <w:rFonts w:hint="eastAsia"/>
        </w:rPr>
        <w:t xml:space="preserve">材料与方法</w:t>
      </w:r>
      <w:r>
        <w:t xml:space="preserve"> (Materials and Methods)</w:t>
      </w:r>
    </w:p>
    <w:bookmarkStart w:id="16" w:name="文献检索与筛选策略"/>
    <w:p>
      <w:pPr>
        <w:pStyle w:val="Heading3"/>
      </w:pPr>
      <w:r>
        <w:t xml:space="preserve">2.1 </w:t>
      </w:r>
      <w:r>
        <w:rPr>
          <w:rFonts w:hint="eastAsia"/>
        </w:rPr>
        <w:t xml:space="preserve">文献检索与筛选策略</w:t>
      </w:r>
    </w:p>
    <w:p>
      <w:pPr>
        <w:pStyle w:val="FirstParagraph"/>
      </w:pPr>
      <w:r>
        <w:rPr>
          <w:rFonts w:hint="eastAsia"/>
        </w:rPr>
        <w:t xml:space="preserve">本研究遵循系统评价与元分析优先报告规范（PRISMA</w:t>
      </w:r>
      <w:r>
        <w:t xml:space="preserve"> </w:t>
      </w:r>
      <w:r>
        <w:rPr>
          <w:rFonts w:hint="eastAsia"/>
        </w:rPr>
        <w:t xml:space="preserve">2020）制定检索和筛选流程[22]。</w:t>
      </w:r>
    </w:p>
    <w:p>
      <w:pPr>
        <w:pStyle w:val="BodyText"/>
      </w:pPr>
      <w:r>
        <w:rPr>
          <w:rFonts w:hint="eastAsia"/>
          <w:b/>
          <w:bCs/>
        </w:rPr>
        <w:t xml:space="preserve">检索数据库</w:t>
      </w:r>
      <w:r>
        <w:rPr>
          <w:rFonts w:hint="eastAsia"/>
        </w:rPr>
        <w:t xml:space="preserve">：PubMed/Medline（美国国家医学图书馆）。</w:t>
      </w:r>
    </w:p>
    <w:p>
      <w:pPr>
        <w:pStyle w:val="BodyText"/>
      </w:pPr>
      <w:r>
        <w:rPr>
          <w:rFonts w:hint="eastAsia"/>
          <w:b/>
          <w:bCs/>
        </w:rPr>
        <w:t xml:space="preserve">检索时间</w:t>
      </w:r>
      <w:r>
        <w:rPr>
          <w:rFonts w:hint="eastAsia"/>
        </w:rPr>
        <w:t xml:space="preserve">：数据库建库至2025年5月1日。</w:t>
      </w:r>
    </w:p>
    <w:p>
      <w:pPr>
        <w:pStyle w:val="BodyText"/>
      </w:pPr>
      <w:r>
        <w:rPr>
          <w:rFonts w:hint="eastAsia"/>
          <w:b/>
          <w:bCs/>
        </w:rPr>
        <w:t xml:space="preserve">检索策略</w:t>
      </w:r>
      <w:r>
        <w:rPr>
          <w:rFonts w:hint="eastAsia"/>
        </w:rPr>
        <w:t xml:space="preserve">：采用主题词（MeSH）与自由词相结合的检索式：</w:t>
      </w:r>
    </w:p>
    <w:p>
      <w:pPr>
        <w:pStyle w:val="SourceCode"/>
      </w:pPr>
      <w:r>
        <w:rPr>
          <w:rStyle w:val="VerbatimChar"/>
        </w:rPr>
        <w:t xml:space="preserve">("Thyroid Neoplasms"[MeSH] OR "thyroid cancer"[tiab] OR "thyroid carcinoma"[tiab] OR "papillary thyroid carcinoma"[tiab] OR "thyroid nodule"[tiab]) </w:t>
      </w:r>
      <w:r>
        <w:br/>
      </w:r>
      <w:r>
        <w:rPr>
          <w:rStyle w:val="VerbatimChar"/>
        </w:rPr>
        <w:t xml:space="preserve">AND </w:t>
      </w:r>
      <w:r>
        <w:br/>
      </w:r>
      <w:r>
        <w:rPr>
          <w:rStyle w:val="VerbatimChar"/>
        </w:rPr>
        <w:t xml:space="preserve">("Glycosylation"[MeSH] OR "glycome"[tiab] OR "N-glycan"[tiab] OR "glycoproteomics"[tiab] OR "MALDI"[tiab] OR "mass spectrometry"[tiab])</w:t>
      </w:r>
    </w:p>
    <w:p>
      <w:pPr>
        <w:pStyle w:val="FirstParagraph"/>
      </w:pPr>
      <w:r>
        <w:rPr>
          <w:rFonts w:hint="eastAsia"/>
          <w:b/>
          <w:bCs/>
        </w:rPr>
        <w:t xml:space="preserve">纳入标准</w:t>
      </w:r>
      <w:r>
        <w:rPr>
          <w:rFonts w:hint="eastAsia"/>
        </w:rPr>
        <w:t xml:space="preserve">：</w:t>
      </w:r>
      <w:r>
        <w:t xml:space="preserve"> </w:t>
      </w:r>
      <w:r>
        <w:rPr>
          <w:rFonts w:hint="eastAsia"/>
        </w:rPr>
        <w:t xml:space="preserve">（1）以2018年后发表的英文原创研究为主，同时纳入少数具有重要参考价值的早期综述；</w:t>
      </w:r>
      <w:r>
        <w:t xml:space="preserve"> </w:t>
      </w:r>
      <w:r>
        <w:rPr>
          <w:rFonts w:hint="eastAsia"/>
        </w:rPr>
        <w:t xml:space="preserve">（2）研究对象包含甲状腺癌患者（任何病理亚型）及相应对照；</w:t>
      </w:r>
      <w:r>
        <w:t xml:space="preserve"> </w:t>
      </w:r>
      <w:r>
        <w:rPr>
          <w:rFonts w:hint="eastAsia"/>
        </w:rPr>
        <w:t xml:space="preserve">（3）采用MALDI-TOF</w:t>
      </w:r>
      <w:r>
        <w:t xml:space="preserve"> </w:t>
      </w:r>
      <w:r>
        <w:rPr>
          <w:rFonts w:hint="eastAsia"/>
        </w:rPr>
        <w:t xml:space="preserve">MS、LC-MS/MS或其他质谱技术进行N-糖组学、糖蛋白组学或糖基因表达分析；</w:t>
      </w:r>
      <w:r>
        <w:t xml:space="preserve"> </w:t>
      </w:r>
      <w:r>
        <w:rPr>
          <w:rFonts w:hint="eastAsia"/>
        </w:rPr>
        <w:t xml:space="preserve">（4）报告了糖链丰度、组间差异统计量（p值、fold</w:t>
      </w:r>
      <w:r>
        <w:t xml:space="preserve"> </w:t>
      </w:r>
      <w:r>
        <w:rPr>
          <w:rFonts w:hint="eastAsia"/>
        </w:rPr>
        <w:t xml:space="preserve">change）或标志物诊断性能（AUC、敏感性、特异性）中的至少一项；</w:t>
      </w:r>
      <w:r>
        <w:t xml:space="preserve"> </w:t>
      </w:r>
      <w:r>
        <w:rPr>
          <w:rFonts w:hint="eastAsia"/>
        </w:rPr>
        <w:t xml:space="preserve">（5）数据可从论文正文、图表或补充材料中提取。综述文献仅用于背景知识整合，不纳入统计分析。</w:t>
      </w:r>
    </w:p>
    <w:p>
      <w:pPr>
        <w:pStyle w:val="BodyText"/>
      </w:pPr>
      <w:r>
        <w:rPr>
          <w:rFonts w:hint="eastAsia"/>
          <w:b/>
          <w:bCs/>
        </w:rPr>
        <w:t xml:space="preserve">排除标准</w:t>
      </w:r>
      <w:r>
        <w:rPr>
          <w:rFonts w:hint="eastAsia"/>
        </w:rPr>
        <w:t xml:space="preserve">：</w:t>
      </w:r>
      <w:r>
        <w:t xml:space="preserve"> </w:t>
      </w:r>
      <w:r>
        <w:rPr>
          <w:rFonts w:hint="eastAsia"/>
        </w:rPr>
        <w:t xml:space="preserve">（1）综述、社论、会议摘要、个案报告和信件；</w:t>
      </w:r>
      <w:r>
        <w:t xml:space="preserve"> </w:t>
      </w:r>
      <w:r>
        <w:rPr>
          <w:rFonts w:hint="eastAsia"/>
        </w:rPr>
        <w:t xml:space="preserve">（2）仅涉及体外酶学实验、合成糖链或细胞系糖工程的研究；</w:t>
      </w:r>
      <w:r>
        <w:t xml:space="preserve"> </w:t>
      </w:r>
      <w:r>
        <w:rPr>
          <w:rFonts w:hint="eastAsia"/>
        </w:rPr>
        <w:t xml:space="preserve">（3）原始数据完全不可获取（无图表、无补充数据、作者无回应）的研究；</w:t>
      </w:r>
      <w:r>
        <w:t xml:space="preserve"> </w:t>
      </w:r>
      <w:r>
        <w:rPr>
          <w:rFonts w:hint="eastAsia"/>
        </w:rPr>
        <w:t xml:space="preserve">（4）重复发表或数据明显重叠的研究（仅保留数据最完整的一篇）。</w:t>
      </w:r>
    </w:p>
    <w:p>
      <w:pPr>
        <w:pStyle w:val="BodyText"/>
      </w:pPr>
      <w:r>
        <w:rPr>
          <w:rFonts w:hint="eastAsia"/>
          <w:b/>
          <w:bCs/>
        </w:rPr>
        <w:t xml:space="preserve">筛选流程</w:t>
      </w:r>
      <w:r>
        <w:rPr>
          <w:rFonts w:hint="eastAsia"/>
        </w:rPr>
        <w:t xml:space="preserve">：由两名研究者（Reviewer</w:t>
      </w:r>
      <w:r>
        <w:t xml:space="preserve"> </w:t>
      </w:r>
      <w:r>
        <w:rPr>
          <w:rFonts w:hint="eastAsia"/>
        </w:rPr>
        <w:t xml:space="preserve">A和Reviewer</w:t>
      </w:r>
      <w:r>
        <w:t xml:space="preserve"> </w:t>
      </w:r>
      <w:r>
        <w:rPr>
          <w:rFonts w:hint="eastAsia"/>
        </w:rPr>
        <w:t xml:space="preserve">B）独立进行标题/摘要初筛和全文复筛，分歧通过讨论或第三位研究者仲裁解决。采用Cohen’s</w:t>
      </w:r>
      <w:r>
        <w:t xml:space="preserve"> </w:t>
      </w:r>
      <w:r>
        <w:rPr>
          <w:rFonts w:hint="eastAsia"/>
        </w:rPr>
        <w:t xml:space="preserve">Kappa系数评估筛选一致性，κ</w:t>
      </w:r>
      <w:r>
        <w:t xml:space="preserve"> &gt; </w:t>
      </w:r>
      <w:r>
        <w:rPr>
          <w:rFonts w:hint="eastAsia"/>
        </w:rPr>
        <w:t xml:space="preserve">0.80视为高度一致。</w:t>
      </w:r>
    </w:p>
    <w:bookmarkEnd w:id="16"/>
    <w:bookmarkStart w:id="17" w:name="数据提取与标准化"/>
    <w:p>
      <w:pPr>
        <w:pStyle w:val="Heading3"/>
      </w:pPr>
      <w:r>
        <w:t xml:space="preserve">2.2 </w:t>
      </w:r>
      <w:r>
        <w:rPr>
          <w:rFonts w:hint="eastAsia"/>
        </w:rPr>
        <w:t xml:space="preserve">数据提取与标准化</w:t>
      </w:r>
    </w:p>
    <w:p>
      <w:pPr>
        <w:pStyle w:val="FirstParagraph"/>
      </w:pPr>
      <w:r>
        <w:rPr>
          <w:rFonts w:hint="eastAsia"/>
        </w:rPr>
        <w:t xml:space="preserve">对纳入文献建立结构化提取表单，涵盖以下维度：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提取字段</w:t>
            </w:r>
          </w:p>
        </w:tc>
        <w:tc>
          <w:tcPr/>
          <w:p>
            <w:pPr>
              <w:pStyle w:val="Compact"/>
            </w:pPr>
            <w:r>
              <w:rPr>
                <w:rFonts w:hint="eastAsia"/>
              </w:rPr>
              <w:t xml:space="preserve">数据类型</w:t>
            </w:r>
          </w:p>
        </w:tc>
      </w:tr>
      <w:tr>
        <w:tc>
          <w:tcPr/>
          <w:p>
            <w:pPr>
              <w:pStyle w:val="Compact"/>
            </w:pPr>
            <w:r>
              <w:rPr>
                <w:rFonts w:hint="eastAsia"/>
              </w:rPr>
              <w:t xml:space="preserve">文献元数据</w:t>
            </w:r>
          </w:p>
        </w:tc>
        <w:tc>
          <w:tcPr/>
          <w:p>
            <w:pPr>
              <w:pStyle w:val="Compact"/>
            </w:pPr>
            <w:r>
              <w:rPr>
                <w:rFonts w:hint="eastAsia"/>
              </w:rPr>
              <w:t xml:space="preserve">第一作者、发表年份、期刊、DOI、PMID/PMCID</w:t>
            </w:r>
          </w:p>
        </w:tc>
        <w:tc>
          <w:tcPr/>
          <w:p>
            <w:pPr>
              <w:pStyle w:val="Compact"/>
            </w:pPr>
            <w:r>
              <w:rPr>
                <w:rFonts w:hint="eastAsia"/>
              </w:rPr>
              <w:t xml:space="preserve">文本/整数</w:t>
            </w:r>
          </w:p>
        </w:tc>
      </w:tr>
      <w:tr>
        <w:tc>
          <w:tcPr/>
          <w:p>
            <w:pPr>
              <w:pStyle w:val="Compact"/>
            </w:pPr>
            <w:r>
              <w:rPr>
                <w:rFonts w:hint="eastAsia"/>
              </w:rPr>
              <w:t xml:space="preserve">研究设计</w:t>
            </w:r>
          </w:p>
        </w:tc>
        <w:tc>
          <w:tcPr/>
          <w:p>
            <w:pPr>
              <w:pStyle w:val="Compact"/>
            </w:pPr>
            <w:r>
              <w:rPr>
                <w:rFonts w:hint="eastAsia"/>
              </w:rPr>
              <w:t xml:space="preserve">国家/地区、研究类型（前瞻性/回顾性）、样本量</w:t>
            </w:r>
          </w:p>
        </w:tc>
        <w:tc>
          <w:tcPr/>
          <w:p>
            <w:pPr>
              <w:pStyle w:val="Compact"/>
            </w:pPr>
            <w:r>
              <w:rPr>
                <w:rFonts w:hint="eastAsia"/>
              </w:rPr>
              <w:t xml:space="preserve">文本/整数</w:t>
            </w:r>
          </w:p>
        </w:tc>
      </w:tr>
      <w:tr>
        <w:tc>
          <w:tcPr/>
          <w:p>
            <w:pPr>
              <w:pStyle w:val="Compact"/>
            </w:pPr>
            <w:r>
              <w:rPr>
                <w:rFonts w:hint="eastAsia"/>
              </w:rPr>
              <w:t xml:space="preserve">临床特征</w:t>
            </w:r>
          </w:p>
        </w:tc>
        <w:tc>
          <w:tcPr/>
          <w:p>
            <w:pPr>
              <w:pStyle w:val="Compact"/>
            </w:pPr>
            <w:r>
              <w:rPr>
                <w:rFonts w:hint="eastAsia"/>
              </w:rPr>
              <w:t xml:space="preserve">癌种分型、TNM分期、LNM状态、复发状态</w:t>
            </w:r>
          </w:p>
        </w:tc>
        <w:tc>
          <w:tcPr/>
          <w:p>
            <w:pPr>
              <w:pStyle w:val="Compact"/>
            </w:pPr>
            <w:r>
              <w:rPr>
                <w:rFonts w:hint="eastAsia"/>
              </w:rPr>
              <w:t xml:space="preserve">分类变量</w:t>
            </w:r>
          </w:p>
        </w:tc>
      </w:tr>
      <w:tr>
        <w:tc>
          <w:tcPr/>
          <w:p>
            <w:pPr>
              <w:pStyle w:val="Compact"/>
            </w:pPr>
            <w:r>
              <w:rPr>
                <w:rFonts w:hint="eastAsia"/>
              </w:rPr>
              <w:t xml:space="preserve">样本信息</w:t>
            </w:r>
          </w:p>
        </w:tc>
        <w:tc>
          <w:tcPr/>
          <w:p>
            <w:pPr>
              <w:pStyle w:val="Compact"/>
            </w:pPr>
            <w:r>
              <w:rPr>
                <w:rFonts w:hint="eastAsia"/>
              </w:rPr>
              <w:t xml:space="preserve">样本类型（血清/血浆/组织/体液）、采集方法、储存条件</w:t>
            </w:r>
          </w:p>
        </w:tc>
        <w:tc>
          <w:tcPr/>
          <w:p>
            <w:pPr>
              <w:pStyle w:val="Compact"/>
            </w:pPr>
            <w:r>
              <w:rPr>
                <w:rFonts w:hint="eastAsia"/>
              </w:rPr>
              <w:t xml:space="preserve">分类变量</w:t>
            </w:r>
          </w:p>
        </w:tc>
      </w:tr>
      <w:tr>
        <w:tc>
          <w:tcPr/>
          <w:p>
            <w:pPr>
              <w:pStyle w:val="Compact"/>
            </w:pPr>
            <w:r>
              <w:rPr>
                <w:rFonts w:hint="eastAsia"/>
              </w:rPr>
              <w:t xml:space="preserve">技术参数</w:t>
            </w:r>
          </w:p>
        </w:tc>
        <w:tc>
          <w:tcPr/>
          <w:p>
            <w:pPr>
              <w:pStyle w:val="Compact"/>
            </w:pPr>
            <w:r>
              <w:rPr>
                <w:rFonts w:hint="eastAsia"/>
              </w:rPr>
              <w:t xml:space="preserve">分析平台（MALDI-TOF/LC-MS）、糖链释放方法、衍生化试剂</w:t>
            </w:r>
          </w:p>
        </w:tc>
        <w:tc>
          <w:tcPr/>
          <w:p>
            <w:pPr>
              <w:pStyle w:val="Compact"/>
            </w:pPr>
            <w:r>
              <w:rPr>
                <w:rFonts w:hint="eastAsia"/>
              </w:rPr>
              <w:t xml:space="preserve">分类变量</w:t>
            </w:r>
          </w:p>
        </w:tc>
      </w:tr>
      <w:tr>
        <w:tc>
          <w:tcPr/>
          <w:p>
            <w:pPr>
              <w:pStyle w:val="Compact"/>
            </w:pPr>
            <w:r>
              <w:rPr>
                <w:rFonts w:hint="eastAsia"/>
              </w:rPr>
              <w:t xml:space="preserve">糖链丰度</w:t>
            </w:r>
          </w:p>
        </w:tc>
        <w:tc>
          <w:tcPr/>
          <w:p>
            <w:pPr>
              <w:pStyle w:val="Compact"/>
            </w:pPr>
            <w:r>
              <w:rPr>
                <w:rFonts w:hint="eastAsia"/>
              </w:rPr>
              <w:t xml:space="preserve">各组均值/中位数、标准差/四分位距、变化方向</w:t>
            </w:r>
          </w:p>
        </w:tc>
        <w:tc>
          <w:tcPr/>
          <w:p>
            <w:pPr>
              <w:pStyle w:val="Compact"/>
            </w:pPr>
            <w:r>
              <w:rPr>
                <w:rFonts w:hint="eastAsia"/>
              </w:rPr>
              <w:t xml:space="preserve">连续变量</w:t>
            </w:r>
          </w:p>
        </w:tc>
      </w:tr>
      <w:tr>
        <w:tc>
          <w:tcPr/>
          <w:p>
            <w:pPr>
              <w:pStyle w:val="Compact"/>
            </w:pPr>
            <w:r>
              <w:rPr>
                <w:rFonts w:hint="eastAsia"/>
              </w:rPr>
              <w:t xml:space="preserve">统计结果</w:t>
            </w:r>
          </w:p>
        </w:tc>
        <w:tc>
          <w:tcPr/>
          <w:p>
            <w:pPr>
              <w:pStyle w:val="Compact"/>
            </w:pPr>
            <w:r>
              <w:rPr>
                <w:rFonts w:hint="eastAsia"/>
              </w:rPr>
              <w:t xml:space="preserve">p值、fold</w:t>
            </w:r>
            <w:r>
              <w:t xml:space="preserve"> </w:t>
            </w:r>
            <w:r>
              <w:rPr>
                <w:rFonts w:hint="eastAsia"/>
              </w:rPr>
              <w:t xml:space="preserve">change、95%置信区间、多重检验校正方法</w:t>
            </w:r>
          </w:p>
        </w:tc>
        <w:tc>
          <w:tcPr/>
          <w:p>
            <w:pPr>
              <w:pStyle w:val="Compact"/>
            </w:pPr>
            <w:r>
              <w:rPr>
                <w:rFonts w:hint="eastAsia"/>
              </w:rPr>
              <w:t xml:space="preserve">连续变量</w:t>
            </w:r>
          </w:p>
        </w:tc>
      </w:tr>
      <w:tr>
        <w:tc>
          <w:tcPr/>
          <w:p>
            <w:pPr>
              <w:pStyle w:val="Compact"/>
            </w:pPr>
            <w:r>
              <w:rPr>
                <w:rFonts w:hint="eastAsia"/>
              </w:rPr>
              <w:t xml:space="preserve">标志物性能</w:t>
            </w:r>
          </w:p>
        </w:tc>
        <w:tc>
          <w:tcPr/>
          <w:p>
            <w:pPr>
              <w:pStyle w:val="Compact"/>
            </w:pPr>
            <w:r>
              <w:rPr>
                <w:rFonts w:hint="eastAsia"/>
              </w:rPr>
              <w:t xml:space="preserve">AUC、最佳cutoff、敏感性、特异性、PPV、NPV</w:t>
            </w:r>
          </w:p>
        </w:tc>
        <w:tc>
          <w:tcPr/>
          <w:p>
            <w:pPr>
              <w:pStyle w:val="Compact"/>
            </w:pPr>
            <w:r>
              <w:rPr>
                <w:rFonts w:hint="eastAsia"/>
              </w:rPr>
              <w:t xml:space="preserve">连续变量</w:t>
            </w:r>
          </w:p>
        </w:tc>
      </w:tr>
    </w:tbl>
    <w:p>
      <w:pPr>
        <w:pStyle w:val="BodyText"/>
      </w:pPr>
      <w:r>
        <w:rPr>
          <w:rFonts w:hint="eastAsia"/>
          <w:b/>
          <w:bCs/>
        </w:rPr>
        <w:t xml:space="preserve">数据标准化处理</w:t>
      </w:r>
      <w:r>
        <w:rPr>
          <w:rFonts w:hint="eastAsia"/>
        </w:rPr>
        <w:t xml:space="preserve">：</w:t>
      </w:r>
      <w:r>
        <w:t xml:space="preserve"> </w:t>
      </w:r>
      <w:r>
        <w:t xml:space="preserve">-</w:t>
      </w:r>
      <w:r>
        <w:t xml:space="preserve"> </w:t>
      </w:r>
      <w:r>
        <w:rPr>
          <w:rFonts w:hint="eastAsia"/>
          <w:b/>
          <w:bCs/>
        </w:rPr>
        <w:t xml:space="preserve">糖链命名统一</w:t>
      </w:r>
      <w:r>
        <w:rPr>
          <w:rFonts w:hint="eastAsia"/>
        </w:rPr>
        <w:t xml:space="preserve">：将不同文献中的糖链名称映射至标准化符号系统（基于GlycoWorkbench和SNFG符号表示法）。例如，</w:t>
      </w:r>
      <w:r>
        <w:t xml:space="preserve">“G0F”</w:t>
      </w:r>
      <w:r>
        <w:rPr>
          <w:rFonts w:hint="eastAsia"/>
        </w:rPr>
        <w:t xml:space="preserve">统一表示为”agalactosylated,</w:t>
      </w:r>
      <w:r>
        <w:t xml:space="preserve"> core-fucosylated </w:t>
      </w:r>
      <w:r>
        <w:rPr>
          <w:rFonts w:hint="eastAsia"/>
        </w:rPr>
        <w:t xml:space="preserve">biantennary”，</w:t>
      </w:r>
      <w:r>
        <w:t xml:space="preserve">“BN”</w:t>
      </w:r>
      <w:r>
        <w:rPr>
          <w:rFonts w:hint="eastAsia"/>
        </w:rPr>
        <w:t xml:space="preserve">定义为双分支中性N-糖链组合。</w:t>
      </w:r>
      <w:r>
        <w:t xml:space="preserve"> </w:t>
      </w:r>
      <w:r>
        <w:t xml:space="preserve">-</w:t>
      </w:r>
      <w:r>
        <w:t xml:space="preserve"> </w:t>
      </w:r>
      <w:r>
        <w:rPr>
          <w:rFonts w:hint="eastAsia"/>
          <w:b/>
          <w:bCs/>
        </w:rPr>
        <w:t xml:space="preserve">统计量标准化</w:t>
      </w:r>
      <w:r>
        <w:rPr>
          <w:rFonts w:hint="eastAsia"/>
        </w:rPr>
        <w:t xml:space="preserve">：将不同格式的p值统一为精确数值或上限表示（如”&lt;0.0001”）；将百分比丰度统一为相对丰度（%）；将AUC值统一保留三位小数。</w:t>
      </w:r>
      <w:r>
        <w:t xml:space="preserve"> </w:t>
      </w:r>
      <w:r>
        <w:t xml:space="preserve">-</w:t>
      </w:r>
      <w:r>
        <w:t xml:space="preserve"> </w:t>
      </w:r>
      <w:r>
        <w:rPr>
          <w:rFonts w:hint="eastAsia"/>
          <w:b/>
          <w:bCs/>
        </w:rPr>
        <w:t xml:space="preserve">样本量标注</w:t>
      </w:r>
      <w:r>
        <w:rPr>
          <w:rFonts w:hint="eastAsia"/>
        </w:rPr>
        <w:t xml:space="preserve">：对每个统计量强制标注来源样本量（n），确保用户能够评估统计效能。</w:t>
      </w:r>
    </w:p>
    <w:p>
      <w:pPr>
        <w:pStyle w:val="BodyText"/>
      </w:pPr>
      <w:r>
        <w:rPr>
          <w:rFonts w:hint="eastAsia"/>
        </w:rPr>
        <w:t xml:space="preserve">对于仅提供图表而未报告精确数值的文献，采用WebPlotDigitizer</w:t>
      </w:r>
      <w:r>
        <w:t xml:space="preserve"> </w:t>
      </w:r>
      <w:r>
        <w:rPr>
          <w:rFonts w:hint="eastAsia"/>
        </w:rPr>
        <w:t xml:space="preserve">v4.6（https://apps.automeris.io/wpd/）进行数字化提取。每张图表由两名研究者独立提取，取平均值作为最终值；差异&gt;5%的数据点标记为”近似值”并在数据库中注明。</w:t>
      </w:r>
    </w:p>
    <w:bookmarkEnd w:id="17"/>
    <w:bookmarkStart w:id="18" w:name="数据库设计与实现"/>
    <w:p>
      <w:pPr>
        <w:pStyle w:val="Heading3"/>
      </w:pPr>
      <w:r>
        <w:t xml:space="preserve">2.3 </w:t>
      </w:r>
      <w:r>
        <w:rPr>
          <w:rFonts w:hint="eastAsia"/>
        </w:rPr>
        <w:t xml:space="preserve">数据库设计与实现</w:t>
      </w:r>
    </w:p>
    <w:p>
      <w:pPr>
        <w:pStyle w:val="FirstParagraph"/>
      </w:pPr>
      <w:r>
        <w:rPr>
          <w:rFonts w:hint="eastAsia"/>
          <w:b/>
          <w:bCs/>
        </w:rPr>
        <w:t xml:space="preserve">设计范式</w:t>
      </w:r>
      <w:r>
        <w:rPr>
          <w:rFonts w:hint="eastAsia"/>
        </w:rPr>
        <w:t xml:space="preserve">：采用第三范式（3NF）关系型数据库设计，最小化数据冗余，确保数据一致性和可扩展性。</w:t>
      </w:r>
    </w:p>
    <w:p>
      <w:pPr>
        <w:pStyle w:val="BodyText"/>
      </w:pPr>
      <w:r>
        <w:rPr>
          <w:rFonts w:hint="eastAsia"/>
          <w:b/>
          <w:bCs/>
        </w:rPr>
        <w:t xml:space="preserve">数据库引擎</w:t>
      </w:r>
      <w:r>
        <w:rPr>
          <w:rFonts w:hint="eastAsia"/>
        </w:rPr>
        <w:t xml:space="preserve">：SQLite</w:t>
      </w:r>
      <w:r>
        <w:t xml:space="preserve"> </w:t>
      </w:r>
      <w:r>
        <w:rPr>
          <w:rFonts w:hint="eastAsia"/>
        </w:rPr>
        <w:t xml:space="preserve">v3.45（零配置、单文件、跨平台），适用于中小规模生物医学数据集（&lt;1</w:t>
      </w:r>
      <w:r>
        <w:t xml:space="preserve"> </w:t>
      </w:r>
      <w:r>
        <w:rPr>
          <w:rFonts w:hint="eastAsia"/>
        </w:rPr>
        <w:t xml:space="preserve">GB）。</w:t>
      </w:r>
    </w:p>
    <w:p>
      <w:pPr>
        <w:pStyle w:val="BodyText"/>
      </w:pPr>
      <w:r>
        <w:rPr>
          <w:rFonts w:hint="eastAsia"/>
          <w:b/>
          <w:bCs/>
        </w:rPr>
        <w:t xml:space="preserve">核心实体关系</w:t>
      </w:r>
      <w:r>
        <w:rPr>
          <w:rFonts w:hint="eastAsia"/>
        </w:rPr>
        <w:t xml:space="preserve">：数据库包含10个核心表（图2）：</w:t>
      </w:r>
      <w:r>
        <w:t xml:space="preserve"> </w:t>
      </w:r>
      <w:r>
        <w:t xml:space="preserve">-</w:t>
      </w:r>
      <w:r>
        <w:t xml:space="preserve"> </w:t>
      </w:r>
      <w:r>
        <w:rPr>
          <w:rStyle w:val="VerbatimChar"/>
        </w:rPr>
        <w:t xml:space="preserve">studies</w:t>
      </w:r>
      <w:r>
        <w:rPr>
          <w:rFonts w:hint="eastAsia"/>
        </w:rPr>
        <w:t xml:space="preserve">：文献级元数据（主键：study_id）</w:t>
      </w:r>
      <w:r>
        <w:t xml:space="preserve"> </w:t>
      </w:r>
      <w:r>
        <w:t xml:space="preserve">-</w:t>
      </w:r>
      <w:r>
        <w:t xml:space="preserve"> </w:t>
      </w:r>
      <w:r>
        <w:rPr>
          <w:rStyle w:val="VerbatimChar"/>
        </w:rPr>
        <w:t xml:space="preserve">clinical_groups</w:t>
      </w:r>
      <w:r>
        <w:rPr>
          <w:rFonts w:hint="eastAsia"/>
        </w:rPr>
        <w:t xml:space="preserve">：临床分组定义（外键：study_id）</w:t>
      </w:r>
      <w:r>
        <w:t xml:space="preserve"> </w:t>
      </w:r>
      <w:r>
        <w:t xml:space="preserve">-</w:t>
      </w:r>
      <w:r>
        <w:t xml:space="preserve"> </w:t>
      </w:r>
      <w:r>
        <w:rPr>
          <w:rStyle w:val="VerbatimChar"/>
        </w:rPr>
        <w:t xml:space="preserve">samples</w:t>
      </w:r>
      <w:r>
        <w:rPr>
          <w:rFonts w:hint="eastAsia"/>
        </w:rPr>
        <w:t xml:space="preserve">：样本连接表（外键：study_id,</w:t>
      </w:r>
      <w:r>
        <w:t xml:space="preserve"> </w:t>
      </w:r>
      <w:r>
        <w:rPr>
          <w:rFonts w:hint="eastAsia"/>
        </w:rPr>
        <w:t xml:space="preserve">group_id）</w:t>
      </w:r>
      <w:r>
        <w:t xml:space="preserve"> </w:t>
      </w:r>
      <w:r>
        <w:t xml:space="preserve">-</w:t>
      </w:r>
      <w:r>
        <w:t xml:space="preserve"> </w:t>
      </w:r>
      <w:r>
        <w:rPr>
          <w:rStyle w:val="VerbatimChar"/>
        </w:rPr>
        <w:t xml:space="preserve">glycan_structures</w:t>
      </w:r>
      <w:r>
        <w:rPr>
          <w:rFonts w:hint="eastAsia"/>
        </w:rPr>
        <w:t xml:space="preserve">：糖链结构知识库（主键：glycan_id）</w:t>
      </w:r>
      <w:r>
        <w:t xml:space="preserve"> </w:t>
      </w:r>
      <w:r>
        <w:t xml:space="preserve">-</w:t>
      </w:r>
      <w:r>
        <w:t xml:space="preserve"> </w:t>
      </w:r>
      <w:r>
        <w:rPr>
          <w:rStyle w:val="VerbatimChar"/>
        </w:rPr>
        <w:t xml:space="preserve">glycan_abundance</w:t>
      </w:r>
      <w:r>
        <w:rPr>
          <w:rFonts w:hint="eastAsia"/>
        </w:rPr>
        <w:t xml:space="preserve">：糖链丰度趋势事实表（外键：sample_id,</w:t>
      </w:r>
      <w:r>
        <w:t xml:space="preserve"> </w:t>
      </w:r>
      <w:r>
        <w:rPr>
          <w:rFonts w:hint="eastAsia"/>
        </w:rPr>
        <w:t xml:space="preserve">glycan_id）</w:t>
      </w:r>
      <w:r>
        <w:t xml:space="preserve"> </w:t>
      </w:r>
      <w:r>
        <w:t xml:space="preserve">-</w:t>
      </w:r>
      <w:r>
        <w:t xml:space="preserve"> </w:t>
      </w:r>
      <w:r>
        <w:rPr>
          <w:rStyle w:val="VerbatimChar"/>
        </w:rPr>
        <w:t xml:space="preserve">biomarkers</w:t>
      </w:r>
      <w:r>
        <w:rPr>
          <w:rFonts w:hint="eastAsia"/>
        </w:rPr>
        <w:t xml:space="preserve">：标志物性能参数（独立维度表）</w:t>
      </w:r>
      <w:r>
        <w:t xml:space="preserve"> </w:t>
      </w:r>
      <w:r>
        <w:t xml:space="preserve">-</w:t>
      </w:r>
      <w:r>
        <w:t xml:space="preserve"> </w:t>
      </w:r>
      <w:r>
        <w:rPr>
          <w:rStyle w:val="VerbatimChar"/>
        </w:rPr>
        <w:t xml:space="preserve">glycosyltransferases</w:t>
      </w:r>
      <w:r>
        <w:rPr>
          <w:rFonts w:hint="eastAsia"/>
        </w:rPr>
        <w:t xml:space="preserve">：酶信息维度表（主键：gene_id）</w:t>
      </w:r>
      <w:r>
        <w:t xml:space="preserve"> </w:t>
      </w:r>
      <w:r>
        <w:t xml:space="preserve">-</w:t>
      </w:r>
      <w:r>
        <w:t xml:space="preserve"> </w:t>
      </w:r>
      <w:r>
        <w:rPr>
          <w:rStyle w:val="VerbatimChar"/>
        </w:rPr>
        <w:t xml:space="preserve">enzyme_glycan_links</w:t>
      </w:r>
      <w:r>
        <w:rPr>
          <w:rFonts w:hint="eastAsia"/>
        </w:rPr>
        <w:t xml:space="preserve">：酶-糖链调控关联表（多对多关系）</w:t>
      </w:r>
      <w:r>
        <w:t xml:space="preserve"> </w:t>
      </w:r>
      <w:r>
        <w:t xml:space="preserve">-</w:t>
      </w:r>
      <w:r>
        <w:t xml:space="preserve"> </w:t>
      </w:r>
      <w:r>
        <w:rPr>
          <w:rStyle w:val="VerbatimChar"/>
        </w:rPr>
        <w:t xml:space="preserve">literature_stats</w:t>
      </w:r>
      <w:r>
        <w:rPr>
          <w:rFonts w:hint="eastAsia"/>
        </w:rPr>
        <w:t xml:space="preserve">：文献提取原始统计量存档表（审计追踪）</w:t>
      </w:r>
      <w:r>
        <w:t xml:space="preserve"> </w:t>
      </w:r>
      <w:r>
        <w:t xml:space="preserve">-</w:t>
      </w:r>
      <w:r>
        <w:t xml:space="preserve"> </w:t>
      </w:r>
      <w:r>
        <w:rPr>
          <w:rStyle w:val="VerbatimChar"/>
        </w:rPr>
        <w:t xml:space="preserve">tcga_glycogene_expression</w:t>
      </w:r>
      <w:r>
        <w:rPr>
          <w:rFonts w:hint="eastAsia"/>
        </w:rPr>
        <w:t xml:space="preserve">：TCGA糖基因表达事实表</w:t>
      </w:r>
    </w:p>
    <w:p>
      <w:pPr>
        <w:pStyle w:val="BodyText"/>
      </w:pPr>
      <w:r>
        <w:rPr>
          <w:rFonts w:hint="eastAsia"/>
          <w:b/>
          <w:bCs/>
        </w:rPr>
        <w:t xml:space="preserve">数据完整性约束</w:t>
      </w:r>
      <w:r>
        <w:rPr>
          <w:rFonts w:hint="eastAsia"/>
        </w:rPr>
        <w:t xml:space="preserve">：</w:t>
      </w:r>
      <w:r>
        <w:t xml:space="preserve"> </w:t>
      </w:r>
      <w:r>
        <w:t xml:space="preserve">- </w:t>
      </w:r>
      <w:r>
        <w:rPr>
          <w:rFonts w:hint="eastAsia"/>
        </w:rPr>
        <w:t xml:space="preserve">外键约束（FOREIGN</w:t>
      </w:r>
      <w:r>
        <w:t xml:space="preserve"> </w:t>
      </w:r>
      <w:r>
        <w:rPr>
          <w:rFonts w:hint="eastAsia"/>
        </w:rPr>
        <w:t xml:space="preserve">KEY）确保引用完整性；</w:t>
      </w:r>
      <w:r>
        <w:t xml:space="preserve"> </w:t>
      </w:r>
      <w:r>
        <w:t xml:space="preserve">- </w:t>
      </w:r>
      <w:r>
        <w:rPr>
          <w:rFonts w:hint="eastAsia"/>
        </w:rPr>
        <w:t xml:space="preserve">CHECK约束验证数值范围（如AUC</w:t>
      </w:r>
      <w:r>
        <w:t xml:space="preserve"> ∈ [0.5, </w:t>
      </w:r>
      <w:r>
        <w:rPr>
          <w:rFonts w:hint="eastAsia"/>
        </w:rPr>
        <w:t xml:space="preserve">1.0]，p值</w:t>
      </w:r>
      <w:r>
        <w:t xml:space="preserve"> ∈ [0, </w:t>
      </w:r>
      <w:r>
        <w:rPr>
          <w:rFonts w:hint="eastAsia"/>
        </w:rPr>
        <w:t xml:space="preserve">1]）；</w:t>
      </w:r>
      <w:r>
        <w:t xml:space="preserve"> </w:t>
      </w:r>
      <w:r>
        <w:t xml:space="preserve">- NOT </w:t>
      </w:r>
      <w:r>
        <w:rPr>
          <w:rFonts w:hint="eastAsia"/>
        </w:rPr>
        <w:t xml:space="preserve">NULL约束确保关键字段（study_id,</w:t>
      </w:r>
      <w:r>
        <w:t xml:space="preserve"> glycan_id, </w:t>
      </w:r>
      <w:r>
        <w:rPr>
          <w:rFonts w:hint="eastAsia"/>
        </w:rPr>
        <w:t xml:space="preserve">gene_symbol）不可为空；</w:t>
      </w:r>
      <w:r>
        <w:t xml:space="preserve"> </w:t>
      </w:r>
      <w:r>
        <w:t xml:space="preserve">- </w:t>
      </w:r>
      <w:r>
        <w:rPr>
          <w:rFonts w:hint="eastAsia"/>
        </w:rPr>
        <w:t xml:space="preserve">触发器（Trigger）自动记录数据修改时间戳。</w:t>
      </w:r>
    </w:p>
    <w:bookmarkEnd w:id="18"/>
    <w:bookmarkStart w:id="19" w:name="数据质量保证与溯源"/>
    <w:p>
      <w:pPr>
        <w:pStyle w:val="Heading3"/>
      </w:pPr>
      <w:r>
        <w:t xml:space="preserve">2.4 </w:t>
      </w:r>
      <w:r>
        <w:rPr>
          <w:rFonts w:hint="eastAsia"/>
        </w:rPr>
        <w:t xml:space="preserve">数据质量保证与溯源</w:t>
      </w:r>
    </w:p>
    <w:p>
      <w:pPr>
        <w:pStyle w:val="FirstParagraph"/>
      </w:pPr>
      <w:r>
        <w:rPr>
          <w:rFonts w:hint="eastAsia"/>
        </w:rPr>
        <w:t xml:space="preserve">为确保平台数据的可靠性、一致性和可追溯性，本研究建立了系统的数据质量保证（Data</w:t>
      </w:r>
      <w:r>
        <w:t xml:space="preserve"> Quality Assurance, </w:t>
      </w:r>
      <w:r>
        <w:rPr>
          <w:rFonts w:hint="eastAsia"/>
        </w:rPr>
        <w:t xml:space="preserve">DQA）流程（图3）：</w:t>
      </w:r>
    </w:p>
    <w:p>
      <w:pPr>
        <w:pStyle w:val="BodyText"/>
      </w:pPr>
      <w:r>
        <w:rPr>
          <w:rFonts w:hint="eastAsia"/>
          <w:b/>
          <w:bCs/>
        </w:rPr>
        <w:t xml:space="preserve">数据溯源（Provenance</w:t>
      </w:r>
      <w:r>
        <w:rPr>
          <w:b/>
          <w:bCs/>
        </w:rPr>
        <w:t xml:space="preserve"> </w:t>
      </w:r>
      <w:r>
        <w:rPr>
          <w:rFonts w:hint="eastAsia"/>
          <w:b/>
          <w:bCs/>
        </w:rPr>
        <w:t xml:space="preserve">Tracing）</w:t>
      </w:r>
      <w:r>
        <w:t xml:space="preserve"> </w:t>
      </w:r>
      <w:r>
        <w:rPr>
          <w:rFonts w:hint="eastAsia"/>
        </w:rPr>
        <w:t xml:space="preserve">为每条数据库记录分配唯一全局标识符（UUID），并强制关联原始文献引用（PMID或PMCID）。用户界面中，每个数据可视化组件均在标题或脚注位置标注数据来源，格式为：</w:t>
      </w:r>
      <w:r>
        <w:t xml:space="preserve">“Source: Author Year, Journal (PMID: XXXXXXXX)”</w:t>
      </w:r>
      <w:r>
        <w:rPr>
          <w:rFonts w:hint="eastAsia"/>
        </w:rPr>
        <w:t xml:space="preserve">。所有提取的原始统计量以结构化JSON和CSV格式存档，支持第三方独立验证。</w:t>
      </w:r>
    </w:p>
    <w:p>
      <w:pPr>
        <w:pStyle w:val="BodyText"/>
      </w:pPr>
      <w:r>
        <w:rPr>
          <w:rFonts w:hint="eastAsia"/>
          <w:b/>
          <w:bCs/>
        </w:rPr>
        <w:t xml:space="preserve">范围校验（Range</w:t>
      </w:r>
      <w:r>
        <w:rPr>
          <w:b/>
          <w:bCs/>
        </w:rPr>
        <w:t xml:space="preserve"> </w:t>
      </w:r>
      <w:r>
        <w:rPr>
          <w:rFonts w:hint="eastAsia"/>
          <w:b/>
          <w:bCs/>
        </w:rPr>
        <w:t xml:space="preserve">Validation）</w:t>
      </w:r>
      <w:r>
        <w:t xml:space="preserve"> </w:t>
      </w:r>
      <w:r>
        <w:rPr>
          <w:rFonts w:hint="eastAsia"/>
        </w:rPr>
        <w:t xml:space="preserve">对数值型字段实施自动化范围检查：</w:t>
      </w:r>
      <w:r>
        <w:t xml:space="preserve"> </w:t>
      </w:r>
      <w:r>
        <w:t xml:space="preserve">- </w:t>
      </w:r>
      <w:r>
        <w:rPr>
          <w:rFonts w:hint="eastAsia"/>
        </w:rPr>
        <w:t xml:space="preserve">相对丰度</w:t>
      </w:r>
      <w:r>
        <w:t xml:space="preserve"> ∈ [0%, 100%]</w:t>
      </w:r>
      <w:r>
        <w:t xml:space="preserve"> </w:t>
      </w:r>
      <w:r>
        <w:t xml:space="preserve">- AUC ∈ [0.5, 1.0]</w:t>
      </w:r>
      <w:r>
        <w:t xml:space="preserve"> </w:t>
      </w:r>
      <w:r>
        <w:t xml:space="preserve">- Fold change &gt; 0</w:t>
      </w:r>
      <w:r>
        <w:t xml:space="preserve"> </w:t>
      </w:r>
      <w:r>
        <w:t xml:space="preserve">- </w:t>
      </w:r>
      <w:r>
        <w:rPr>
          <w:rFonts w:hint="eastAsia"/>
        </w:rPr>
        <w:t xml:space="preserve">p值</w:t>
      </w:r>
      <w:r>
        <w:t xml:space="preserve"> ∈ [0, 1]</w:t>
      </w:r>
      <w:r>
        <w:t xml:space="preserve"> </w:t>
      </w:r>
      <w:r>
        <w:t xml:space="preserve">- </w:t>
      </w:r>
      <w:r>
        <w:rPr>
          <w:rFonts w:hint="eastAsia"/>
        </w:rPr>
        <w:t xml:space="preserve">样本量</w:t>
      </w:r>
      <w:r>
        <w:t xml:space="preserve"> n ∈ [1, 10000]</w:t>
      </w:r>
      <w:r>
        <w:t xml:space="preserve"> </w:t>
      </w:r>
      <w:r>
        <w:rPr>
          <w:rFonts w:hint="eastAsia"/>
        </w:rPr>
        <w:t xml:space="preserve">超出范围的记录自动标记为”异常值”（outlier_flag</w:t>
      </w:r>
      <w:r>
        <w:t xml:space="preserve"> = </w:t>
      </w:r>
      <w:r>
        <w:rPr>
          <w:rFonts w:hint="eastAsia"/>
        </w:rPr>
        <w:t xml:space="preserve">1），触发人工复核。</w:t>
      </w:r>
    </w:p>
    <w:p>
      <w:pPr>
        <w:pStyle w:val="BodyText"/>
      </w:pPr>
      <w:r>
        <w:rPr>
          <w:rFonts w:hint="eastAsia"/>
          <w:b/>
          <w:bCs/>
        </w:rPr>
        <w:t xml:space="preserve">一致性测试（Consistency</w:t>
      </w:r>
      <w:r>
        <w:rPr>
          <w:b/>
          <w:bCs/>
        </w:rPr>
        <w:t xml:space="preserve"> </w:t>
      </w:r>
      <w:r>
        <w:rPr>
          <w:rFonts w:hint="eastAsia"/>
          <w:b/>
          <w:bCs/>
        </w:rPr>
        <w:t xml:space="preserve">Testing）</w:t>
      </w:r>
      <w:r>
        <w:t xml:space="preserve"> </w:t>
      </w:r>
      <w:r>
        <w:rPr>
          <w:rFonts w:hint="eastAsia"/>
        </w:rPr>
        <w:t xml:space="preserve">开发单元测试套件（Python</w:t>
      </w:r>
      <w:r>
        <w:t xml:space="preserve"> </w:t>
      </w:r>
      <w:r>
        <w:rPr>
          <w:rFonts w:hint="eastAsia"/>
        </w:rPr>
        <w:t xml:space="preserve">unittest框架），验证以下业务逻辑：</w:t>
      </w:r>
      <w:r>
        <w:t xml:space="preserve"> </w:t>
      </w:r>
      <w:r>
        <w:t xml:space="preserve">- </w:t>
      </w:r>
      <w:r>
        <w:rPr>
          <w:rFonts w:hint="eastAsia"/>
        </w:rPr>
        <w:t xml:space="preserve">每个glycan_abundance记录必须关联有效的study_id和glycan_id；</w:t>
      </w:r>
      <w:r>
        <w:t xml:space="preserve"> </w:t>
      </w:r>
      <w:r>
        <w:t xml:space="preserve">- </w:t>
      </w:r>
      <w:r>
        <w:rPr>
          <w:rFonts w:hint="eastAsia"/>
        </w:rPr>
        <w:t xml:space="preserve">biomarker表中的AUC值必须与对应literature_stats记录一致（容差</w:t>
      </w:r>
      <w:r>
        <w:t xml:space="preserve"> </w:t>
      </w:r>
      <w:r>
        <w:rPr>
          <w:rFonts w:hint="eastAsia"/>
        </w:rPr>
        <w:t xml:space="preserve">±0.001）；</w:t>
      </w:r>
      <w:r>
        <w:t xml:space="preserve"> </w:t>
      </w:r>
      <w:r>
        <w:t xml:space="preserve">- </w:t>
      </w:r>
      <w:r>
        <w:rPr>
          <w:rFonts w:hint="eastAsia"/>
        </w:rPr>
        <w:t xml:space="preserve">tcga_glycogene_expression表中significant=1的记录，其p_value字段不得为”ns”；</w:t>
      </w:r>
      <w:r>
        <w:t xml:space="preserve"> </w:t>
      </w:r>
      <w:r>
        <w:t xml:space="preserve">- </w:t>
      </w:r>
      <w:r>
        <w:rPr>
          <w:rFonts w:hint="eastAsia"/>
        </w:rPr>
        <w:t xml:space="preserve">所有study_id在studies表中必须有且仅有一条记录；</w:t>
      </w:r>
      <w:r>
        <w:t xml:space="preserve"> </w:t>
      </w:r>
      <w:r>
        <w:t xml:space="preserve">- </w:t>
      </w:r>
      <w:r>
        <w:rPr>
          <w:rFonts w:hint="eastAsia"/>
        </w:rPr>
        <w:t xml:space="preserve">外键约束确保删除研究记录时级联删除关联数据，防止孤立记录。</w:t>
      </w:r>
    </w:p>
    <w:p>
      <w:pPr>
        <w:pStyle w:val="BodyText"/>
      </w:pPr>
      <w:r>
        <w:rPr>
          <w:rFonts w:hint="eastAsia"/>
          <w:b/>
          <w:bCs/>
        </w:rPr>
        <w:t xml:space="preserve">数据版本控制</w:t>
      </w:r>
      <w:r>
        <w:t xml:space="preserve"> </w:t>
      </w:r>
      <w:r>
        <w:rPr>
          <w:rFonts w:hint="eastAsia"/>
        </w:rPr>
        <w:t xml:space="preserve">采用Git进行数据库构建脚本和提取数据的版本控制。每次数据更新生成新的版本标签（semantic</w:t>
      </w:r>
      <w:r>
        <w:t xml:space="preserve"> </w:t>
      </w:r>
      <w:r>
        <w:rPr>
          <w:rFonts w:hint="eastAsia"/>
        </w:rPr>
        <w:t xml:space="preserve">versioning），并在数据库元数据表中记录版本号、更新时间和变更摘要，确保数据演化的完整审计追踪。</w:t>
      </w:r>
    </w:p>
    <w:bookmarkEnd w:id="19"/>
    <w:bookmarkStart w:id="20" w:name="交互式平台开发"/>
    <w:p>
      <w:pPr>
        <w:pStyle w:val="Heading3"/>
      </w:pPr>
      <w:r>
        <w:t xml:space="preserve">2.5 </w:t>
      </w:r>
      <w:r>
        <w:rPr>
          <w:rFonts w:hint="eastAsia"/>
        </w:rPr>
        <w:t xml:space="preserve">交互式平台开发</w:t>
      </w:r>
    </w:p>
    <w:p>
      <w:pPr>
        <w:pStyle w:val="FirstParagraph"/>
      </w:pPr>
      <w:r>
        <w:rPr>
          <w:rFonts w:hint="eastAsia"/>
          <w:b/>
          <w:bCs/>
        </w:rPr>
        <w:t xml:space="preserve">技术栈</w:t>
      </w:r>
      <w:r>
        <w:rPr>
          <w:rFonts w:hint="eastAsia"/>
        </w:rPr>
        <w:t xml:space="preserve">：</w:t>
      </w:r>
      <w:r>
        <w:t xml:space="preserve"> </w:t>
      </w:r>
      <w:r>
        <w:t xml:space="preserve">-</w:t>
      </w:r>
      <w:r>
        <w:t xml:space="preserve"> </w:t>
      </w:r>
      <w:r>
        <w:rPr>
          <w:rFonts w:hint="eastAsia"/>
          <w:b/>
          <w:bCs/>
        </w:rPr>
        <w:t xml:space="preserve">前端框架</w:t>
      </w:r>
      <w:r>
        <w:rPr>
          <w:rFonts w:hint="eastAsia"/>
        </w:rPr>
        <w:t xml:space="preserve">：R</w:t>
      </w:r>
      <w:r>
        <w:t xml:space="preserve"> Shiny v1.8 + shinydashboard v0.7</w:t>
      </w:r>
      <w:r>
        <w:t xml:space="preserve"> </w:t>
      </w:r>
      <w:r>
        <w:t xml:space="preserve">-</w:t>
      </w:r>
      <w:r>
        <w:t xml:space="preserve"> </w:t>
      </w:r>
      <w:r>
        <w:rPr>
          <w:rFonts w:hint="eastAsia"/>
          <w:b/>
          <w:bCs/>
        </w:rPr>
        <w:t xml:space="preserve">可视化引擎</w:t>
      </w:r>
      <w:r>
        <w:rPr>
          <w:rFonts w:hint="eastAsia"/>
        </w:rPr>
        <w:t xml:space="preserve">：ggplot2</w:t>
      </w:r>
      <w:r>
        <w:t xml:space="preserve"> </w:t>
      </w:r>
      <w:r>
        <w:rPr>
          <w:rFonts w:hint="eastAsia"/>
        </w:rPr>
        <w:t xml:space="preserve">v3.4（静态图）、plotly</w:t>
      </w:r>
      <w:r>
        <w:t xml:space="preserve"> </w:t>
      </w:r>
      <w:r>
        <w:rPr>
          <w:rFonts w:hint="eastAsia"/>
        </w:rPr>
        <w:t xml:space="preserve">v4.10（交互图）、DT</w:t>
      </w:r>
      <w:r>
        <w:t xml:space="preserve"> </w:t>
      </w:r>
      <w:r>
        <w:rPr>
          <w:rFonts w:hint="eastAsia"/>
        </w:rPr>
        <w:t xml:space="preserve">v0.28（数据表格）</w:t>
      </w:r>
      <w:r>
        <w:t xml:space="preserve"> </w:t>
      </w:r>
      <w:r>
        <w:t xml:space="preserve">-</w:t>
      </w:r>
      <w:r>
        <w:t xml:space="preserve"> </w:t>
      </w:r>
      <w:r>
        <w:rPr>
          <w:rFonts w:hint="eastAsia"/>
          <w:b/>
          <w:bCs/>
        </w:rPr>
        <w:t xml:space="preserve">统计分析</w:t>
      </w:r>
      <w:r>
        <w:rPr>
          <w:rFonts w:hint="eastAsia"/>
        </w:rPr>
        <w:t xml:space="preserve">：dplyr</w:t>
      </w:r>
      <w:r>
        <w:t xml:space="preserve"> </w:t>
      </w:r>
      <w:r>
        <w:rPr>
          <w:rFonts w:hint="eastAsia"/>
        </w:rPr>
        <w:t xml:space="preserve">v1.1（数据操作）、pROC</w:t>
      </w:r>
      <w:r>
        <w:t xml:space="preserve"> </w:t>
      </w:r>
      <w:r>
        <w:rPr>
          <w:rFonts w:hint="eastAsia"/>
        </w:rPr>
        <w:t xml:space="preserve">v1.18（ROC分析）、tidyr</w:t>
      </w:r>
      <w:r>
        <w:t xml:space="preserve"> </w:t>
      </w:r>
      <w:r>
        <w:rPr>
          <w:rFonts w:hint="eastAsia"/>
        </w:rPr>
        <w:t xml:space="preserve">v1.3（数据整理）</w:t>
      </w:r>
      <w:r>
        <w:t xml:space="preserve"> </w:t>
      </w:r>
      <w:r>
        <w:t xml:space="preserve">-</w:t>
      </w:r>
      <w:r>
        <w:t xml:space="preserve"> </w:t>
      </w:r>
      <w:r>
        <w:rPr>
          <w:rFonts w:hint="eastAsia"/>
          <w:b/>
          <w:bCs/>
        </w:rPr>
        <w:t xml:space="preserve">后端数据库</w:t>
      </w:r>
      <w:r>
        <w:rPr>
          <w:rFonts w:hint="eastAsia"/>
        </w:rPr>
        <w:t xml:space="preserve">：RSQLite</w:t>
      </w:r>
      <w:r>
        <w:t xml:space="preserve"> </w:t>
      </w:r>
      <w:r>
        <w:rPr>
          <w:rFonts w:hint="eastAsia"/>
        </w:rPr>
        <w:t xml:space="preserve">v2.3（SQLite接口）</w:t>
      </w:r>
      <w:r>
        <w:t xml:space="preserve"> </w:t>
      </w:r>
      <w:r>
        <w:t xml:space="preserve">-</w:t>
      </w:r>
      <w:r>
        <w:t xml:space="preserve"> </w:t>
      </w:r>
      <w:r>
        <w:rPr>
          <w:rFonts w:hint="eastAsia"/>
          <w:b/>
          <w:bCs/>
        </w:rPr>
        <w:t xml:space="preserve">部署环境</w:t>
      </w:r>
      <w:r>
        <w:rPr>
          <w:rFonts w:hint="eastAsia"/>
        </w:rPr>
        <w:t xml:space="preserve">：支持本地RStudio运行和Shiny</w:t>
      </w:r>
      <w:r>
        <w:t xml:space="preserve"> Server/Posit </w:t>
      </w:r>
      <w:r>
        <w:rPr>
          <w:rFonts w:hint="eastAsia"/>
        </w:rPr>
        <w:t xml:space="preserve">Connect部署</w:t>
      </w:r>
    </w:p>
    <w:p>
      <w:pPr>
        <w:pStyle w:val="BodyText"/>
      </w:pPr>
      <w:r>
        <w:rPr>
          <w:rFonts w:hint="eastAsia"/>
          <w:b/>
          <w:bCs/>
        </w:rPr>
        <w:t xml:space="preserve">功能模块设计</w:t>
      </w:r>
      <w:r>
        <w:rPr>
          <w:rFonts w:hint="eastAsia"/>
        </w:rPr>
        <w:t xml:space="preserve">：</w:t>
      </w:r>
      <w:r>
        <w:t xml:space="preserve"> </w:t>
      </w:r>
      <w:r>
        <w:rPr>
          <w:rFonts w:hint="eastAsia"/>
        </w:rPr>
        <w:t xml:space="preserve">平台设计为9大核心模块，遵循”数据→分析→决策”的渐进式信息架构：</w:t>
      </w:r>
    </w:p>
    <w:p>
      <w:pPr>
        <w:pStyle w:val="Compact"/>
        <w:numPr>
          <w:ilvl w:val="0"/>
          <w:numId w:val="1003"/>
        </w:numPr>
      </w:pPr>
      <w:r>
        <w:rPr>
          <w:rFonts w:hint="eastAsia"/>
          <w:b/>
          <w:bCs/>
        </w:rPr>
        <w:t xml:space="preserve">Overview仪表盘</w:t>
      </w:r>
      <w:r>
        <w:rPr>
          <w:rFonts w:hint="eastAsia"/>
        </w:rPr>
        <w:t xml:space="preserve">：数据库统计概览、文献时间线、癌种分布和方法学分布的动态可视化；</w:t>
      </w:r>
    </w:p>
    <w:p>
      <w:pPr>
        <w:pStyle w:val="Compact"/>
        <w:numPr>
          <w:ilvl w:val="0"/>
          <w:numId w:val="1003"/>
        </w:numPr>
      </w:pPr>
      <w:r>
        <w:rPr>
          <w:rFonts w:hint="eastAsia"/>
          <w:b/>
          <w:bCs/>
        </w:rPr>
        <w:t xml:space="preserve">Literature文献库</w:t>
      </w:r>
      <w:r>
        <w:rPr>
          <w:rFonts w:hint="eastAsia"/>
        </w:rPr>
        <w:t xml:space="preserve">：交互式文献表格，支持按年份、癌种、方法学、样本类型和标志物性能多维筛选；</w:t>
      </w:r>
    </w:p>
    <w:p>
      <w:pPr>
        <w:pStyle w:val="Compact"/>
        <w:numPr>
          <w:ilvl w:val="0"/>
          <w:numId w:val="1003"/>
        </w:numPr>
      </w:pPr>
      <w:r>
        <w:rPr>
          <w:rFonts w:hint="eastAsia"/>
          <w:b/>
          <w:bCs/>
        </w:rPr>
        <w:t xml:space="preserve">Biomarkers标志物面板</w:t>
      </w:r>
      <w:r>
        <w:rPr>
          <w:rFonts w:hint="eastAsia"/>
        </w:rPr>
        <w:t xml:space="preserve">：横向对比所有纳入标志物的AUC、敏感性、特异性，支持排序和详细信息钻取；</w:t>
      </w:r>
    </w:p>
    <w:p>
      <w:pPr>
        <w:pStyle w:val="Compact"/>
        <w:numPr>
          <w:ilvl w:val="0"/>
          <w:numId w:val="1003"/>
        </w:numPr>
      </w:pPr>
      <w:r>
        <w:rPr>
          <w:b/>
          <w:bCs/>
        </w:rPr>
        <w:t xml:space="preserve">Glycan </w:t>
      </w:r>
      <w:r>
        <w:rPr>
          <w:rFonts w:hint="eastAsia"/>
          <w:b/>
          <w:bCs/>
        </w:rPr>
        <w:t xml:space="preserve">Browser糖链浏览器</w:t>
      </w:r>
      <w:r>
        <w:rPr>
          <w:rFonts w:hint="eastAsia"/>
        </w:rPr>
        <w:t xml:space="preserve">：24种核心N-糖链的结构信息（SNFG符号、分子量、单糖组成）和跨研究变化趋势比较；</w:t>
      </w:r>
    </w:p>
    <w:p>
      <w:pPr>
        <w:pStyle w:val="Compact"/>
        <w:numPr>
          <w:ilvl w:val="0"/>
          <w:numId w:val="1003"/>
        </w:numPr>
      </w:pPr>
      <w:r>
        <w:rPr>
          <w:b/>
          <w:bCs/>
        </w:rPr>
        <w:t xml:space="preserve">Enzyme </w:t>
      </w:r>
      <w:r>
        <w:rPr>
          <w:rFonts w:hint="eastAsia"/>
          <w:b/>
          <w:bCs/>
        </w:rPr>
        <w:t xml:space="preserve">Network酶-糖网络</w:t>
      </w:r>
      <w:r>
        <w:rPr>
          <w:rFonts w:hint="eastAsia"/>
        </w:rPr>
        <w:t xml:space="preserve">：8种关键糖基转移酶的调控关系可视化，支持按酶家族和调控方向过滤；</w:t>
      </w:r>
    </w:p>
    <w:p>
      <w:pPr>
        <w:pStyle w:val="Compact"/>
        <w:numPr>
          <w:ilvl w:val="0"/>
          <w:numId w:val="1003"/>
        </w:numPr>
      </w:pPr>
      <w:r>
        <w:rPr>
          <w:b/>
          <w:bCs/>
        </w:rPr>
        <w:t xml:space="preserve">TCGA </w:t>
      </w:r>
      <w:r>
        <w:rPr>
          <w:rFonts w:hint="eastAsia"/>
          <w:b/>
          <w:bCs/>
        </w:rPr>
        <w:t xml:space="preserve">Expression基因表达</w:t>
      </w:r>
      <w:r>
        <w:rPr>
          <w:rFonts w:hint="eastAsia"/>
        </w:rPr>
        <w:t xml:space="preserve">：20对TCGA-THCA配对样本的真实median</w:t>
      </w:r>
      <w:r>
        <w:t xml:space="preserve"> </w:t>
      </w:r>
      <w:r>
        <w:rPr>
          <w:rFonts w:hint="eastAsia"/>
        </w:rPr>
        <w:t xml:space="preserve">RPKM数据，支持分组柱状图和fold</w:t>
      </w:r>
      <w:r>
        <w:t xml:space="preserve"> </w:t>
      </w:r>
      <w:r>
        <w:rPr>
          <w:rFonts w:hint="eastAsia"/>
        </w:rPr>
        <w:t xml:space="preserve">change展示；</w:t>
      </w:r>
    </w:p>
    <w:p>
      <w:pPr>
        <w:pStyle w:val="Compact"/>
        <w:numPr>
          <w:ilvl w:val="0"/>
          <w:numId w:val="1003"/>
        </w:numPr>
      </w:pPr>
      <w:r>
        <w:rPr>
          <w:b/>
          <w:bCs/>
        </w:rPr>
        <w:t xml:space="preserve">Diagnostic </w:t>
      </w:r>
      <w:r>
        <w:rPr>
          <w:rFonts w:hint="eastAsia"/>
          <w:b/>
          <w:bCs/>
        </w:rPr>
        <w:t xml:space="preserve">Tool诊断工具</w:t>
      </w:r>
      <w:r>
        <w:rPr>
          <w:rFonts w:hint="eastAsia"/>
        </w:rPr>
        <w:t xml:space="preserve">：在线IgG</w:t>
      </w:r>
      <w:r>
        <w:t xml:space="preserve"> </w:t>
      </w:r>
      <w:r>
        <w:rPr>
          <w:rFonts w:hint="eastAsia"/>
        </w:rPr>
        <w:t xml:space="preserve">BN评分计算器和血清G0F:G1F复发风险预测器；</w:t>
      </w:r>
    </w:p>
    <w:p>
      <w:pPr>
        <w:pStyle w:val="Compact"/>
        <w:numPr>
          <w:ilvl w:val="0"/>
          <w:numId w:val="1003"/>
        </w:numPr>
      </w:pPr>
      <w:r>
        <w:rPr>
          <w:rFonts w:hint="eastAsia"/>
          <w:b/>
          <w:bCs/>
        </w:rPr>
        <w:t xml:space="preserve">Nomogram列线图</w:t>
      </w:r>
      <w:r>
        <w:rPr>
          <w:rFonts w:hint="eastAsia"/>
        </w:rPr>
        <w:t xml:space="preserve">：PTMC淋巴结转移风险概率动态计算和可视化仪表盘；</w:t>
      </w:r>
    </w:p>
    <w:p>
      <w:pPr>
        <w:pStyle w:val="Compact"/>
        <w:numPr>
          <w:ilvl w:val="0"/>
          <w:numId w:val="1003"/>
        </w:numPr>
      </w:pPr>
      <w:r>
        <w:rPr>
          <w:b/>
          <w:bCs/>
        </w:rPr>
        <w:t xml:space="preserve">Data </w:t>
      </w:r>
      <w:r>
        <w:rPr>
          <w:rFonts w:hint="eastAsia"/>
          <w:b/>
          <w:bCs/>
        </w:rPr>
        <w:t xml:space="preserve">Upload数据上传</w:t>
      </w:r>
      <w:r>
        <w:rPr>
          <w:rFonts w:hint="eastAsia"/>
        </w:rPr>
        <w:t xml:space="preserve">：支持用户上传自有MALDI-TOF糖组学CSV文件，自动生成糖谱轮廓图和组间比较统计图。</w:t>
      </w:r>
    </w:p>
    <w:bookmarkEnd w:id="20"/>
    <w:bookmarkStart w:id="21" w:name="fair原则自评估"/>
    <w:p>
      <w:pPr>
        <w:pStyle w:val="Heading3"/>
      </w:pPr>
      <w:r>
        <w:t xml:space="preserve">2.6 </w:t>
      </w:r>
      <w:r>
        <w:rPr>
          <w:rFonts w:hint="eastAsia"/>
        </w:rPr>
        <w:t xml:space="preserve">FAIR原则自评估</w:t>
      </w:r>
    </w:p>
    <w:p>
      <w:pPr>
        <w:pStyle w:val="FirstParagraph"/>
      </w:pPr>
      <w:r>
        <w:rPr>
          <w:rFonts w:hint="eastAsia"/>
        </w:rPr>
        <w:t xml:space="preserve">依据Wilkinson等提出的FAIR数据原则[23]，对ThyGlycoPortal进行四维度自评估（每项1–5分）：</w:t>
      </w:r>
    </w:p>
    <w:p>
      <w:pPr>
        <w:pStyle w:val="Compact"/>
        <w:numPr>
          <w:ilvl w:val="0"/>
          <w:numId w:val="1004"/>
        </w:numPr>
      </w:pPr>
      <w:r>
        <w:rPr>
          <w:rFonts w:hint="eastAsia"/>
          <w:b/>
          <w:bCs/>
        </w:rPr>
        <w:t xml:space="preserve">可发现性（Findable）</w:t>
      </w:r>
      <w:r>
        <w:rPr>
          <w:rFonts w:hint="eastAsia"/>
        </w:rPr>
        <w:t xml:space="preserve">：数据是否通过唯一标识符索引，是否注册于社区资源目录；</w:t>
      </w:r>
    </w:p>
    <w:p>
      <w:pPr>
        <w:pStyle w:val="Compact"/>
        <w:numPr>
          <w:ilvl w:val="0"/>
          <w:numId w:val="1004"/>
        </w:numPr>
      </w:pPr>
      <w:r>
        <w:rPr>
          <w:rFonts w:hint="eastAsia"/>
          <w:b/>
          <w:bCs/>
        </w:rPr>
        <w:t xml:space="preserve">可访问性（Accessible）</w:t>
      </w:r>
      <w:r>
        <w:rPr>
          <w:rFonts w:hint="eastAsia"/>
        </w:rPr>
        <w:t xml:space="preserve">：数据获取协议是否开放，元数据是否在数据不可用时仍可访问；</w:t>
      </w:r>
    </w:p>
    <w:p>
      <w:pPr>
        <w:pStyle w:val="Compact"/>
        <w:numPr>
          <w:ilvl w:val="0"/>
          <w:numId w:val="1004"/>
        </w:numPr>
      </w:pPr>
      <w:r>
        <w:rPr>
          <w:rFonts w:hint="eastAsia"/>
          <w:b/>
          <w:bCs/>
        </w:rPr>
        <w:t xml:space="preserve">互操作性（Interoperable）</w:t>
      </w:r>
      <w:r>
        <w:rPr>
          <w:rFonts w:hint="eastAsia"/>
        </w:rPr>
        <w:t xml:space="preserve">：数据格式是否采用开放标准，术语是否链接到社区本体；</w:t>
      </w:r>
    </w:p>
    <w:p>
      <w:pPr>
        <w:pStyle w:val="Compact"/>
        <w:numPr>
          <w:ilvl w:val="0"/>
          <w:numId w:val="1004"/>
        </w:numPr>
      </w:pPr>
      <w:r>
        <w:rPr>
          <w:rFonts w:hint="eastAsia"/>
          <w:b/>
          <w:bCs/>
        </w:rPr>
        <w:t xml:space="preserve">可重用性（Reusable）</w:t>
      </w:r>
      <w:r>
        <w:rPr>
          <w:rFonts w:hint="eastAsia"/>
        </w:rPr>
        <w:t xml:space="preserve">：数据是否附带充分的上下文元数据，是否有明确的使用许可。</w:t>
      </w:r>
    </w:p>
    <w:p>
      <w:r>
        <w:pict>
          <v:rect style="width:0;height:1.5pt" o:hralign="center" o:hrstd="t" o:hr="t"/>
        </w:pict>
      </w:r>
    </w:p>
    <w:bookmarkEnd w:id="21"/>
    <w:bookmarkEnd w:id="22"/>
    <w:bookmarkStart w:id="51" w:name="结果-results"/>
    <w:p>
      <w:pPr>
        <w:pStyle w:val="Heading2"/>
      </w:pPr>
      <w:r>
        <w:t xml:space="preserve">3. </w:t>
      </w:r>
      <w:r>
        <w:rPr>
          <w:rFonts w:hint="eastAsia"/>
        </w:rPr>
        <w:t xml:space="preserve">结果</w:t>
      </w:r>
      <w:r>
        <w:t xml:space="preserve"> (Results)</w:t>
      </w:r>
    </w:p>
    <w:bookmarkStart w:id="26" w:name="文献计量学概览"/>
    <w:p>
      <w:pPr>
        <w:pStyle w:val="Heading3"/>
      </w:pPr>
      <w:r>
        <w:t xml:space="preserve">3.1 </w:t>
      </w:r>
      <w:r>
        <w:rPr>
          <w:rFonts w:hint="eastAsia"/>
        </w:rPr>
        <w:t xml:space="preserve">文献计量学概览</w:t>
      </w:r>
    </w:p>
    <w:p>
      <w:pPr>
        <w:pStyle w:val="FirstParagraph"/>
      </w:pPr>
      <w:r>
        <w:rPr>
          <w:rFonts w:hint="eastAsia"/>
        </w:rPr>
        <w:t xml:space="preserve">系统检索共获得1,247条记录，经过去重、标题/摘要筛选和全文评估，最终纳入9项提供原始数据的原创研究及2篇背景综述（图1A）。文献计量学分析揭示了以下领域特征：</w:t>
      </w:r>
    </w:p>
    <w:p>
      <w:pPr>
        <w:pStyle w:val="BodyText"/>
      </w:pPr>
      <w:r>
        <w:rPr>
          <w:rFonts w:hint="eastAsia"/>
          <w:b/>
          <w:bCs/>
        </w:rPr>
        <w:t xml:space="preserve">时间趋势</w:t>
      </w:r>
      <w:r>
        <w:rPr>
          <w:rFonts w:hint="eastAsia"/>
        </w:rPr>
        <w:t xml:space="preserve">：甲状腺癌糖组学研究在2018年后进入活跃期（图1A），2015–2025年间共发表11篇相关文献，研究活跃度近年来有所提升。</w:t>
      </w:r>
    </w:p>
    <w:p>
      <w:pPr>
        <w:pStyle w:val="BodyText"/>
      </w:pPr>
      <w:r>
        <w:rPr>
          <w:rFonts w:hint="eastAsia"/>
          <w:b/>
          <w:bCs/>
        </w:rPr>
        <w:t xml:space="preserve">样本类型</w:t>
      </w:r>
      <w:r>
        <w:rPr>
          <w:rFonts w:hint="eastAsia"/>
        </w:rPr>
        <w:t xml:space="preserve">：血清样本占主导（45.5%，5/11），其次为组织样本（36.4%，4/11）和血浆样本（18.2%，2/11）（图1B）。值得注意的是，IgG</w:t>
      </w:r>
      <w:r>
        <w:t xml:space="preserve"> </w:t>
      </w:r>
      <w:r>
        <w:rPr>
          <w:rFonts w:hint="eastAsia"/>
        </w:rPr>
        <w:t xml:space="preserve">N-糖组学（血浆来源）作为一种新兴策略，在2021年后受到特别关注，显示出更高的诊断特异性。</w:t>
      </w:r>
    </w:p>
    <w:p>
      <w:pPr>
        <w:pStyle w:val="BodyText"/>
      </w:pPr>
      <w:r>
        <w:rPr>
          <w:rFonts w:hint="eastAsia"/>
          <w:b/>
          <w:bCs/>
        </w:rPr>
        <w:t xml:space="preserve">癌种覆盖</w:t>
      </w:r>
      <w:r>
        <w:rPr>
          <w:rFonts w:hint="eastAsia"/>
        </w:rPr>
        <w:t xml:space="preserve">：PTC是绝对的研究焦点（72.7%，8/11），PTMC（9.1%）、DTC（9.1%）和MTC（9.1%）的报道相对较少（图1C）。这一分布与临床流行病学一致，但也提示了对罕见亚型（如未分化甲状腺癌ATC）糖组学特征的认知空白。</w:t>
      </w:r>
    </w:p>
    <w:p>
      <w:pPr>
        <w:pStyle w:val="BodyText"/>
      </w:pPr>
      <w:r>
        <w:rPr>
          <w:rFonts w:hint="eastAsia"/>
          <w:b/>
          <w:bCs/>
        </w:rPr>
        <w:t xml:space="preserve">方法学分布</w:t>
      </w:r>
      <w:r>
        <w:rPr>
          <w:rFonts w:hint="eastAsia"/>
        </w:rPr>
        <w:t xml:space="preserve">：MALDI-TOF</w:t>
      </w:r>
      <w:r>
        <w:t xml:space="preserve"> </w:t>
      </w:r>
      <w:r>
        <w:rPr>
          <w:rFonts w:hint="eastAsia"/>
        </w:rPr>
        <w:t xml:space="preserve">MS是主流技术平台（72.7%，8/11），LC-MS/MS及其衍生技术占27.3%（3/11）（图1D）。MALDI-TOF</w:t>
      </w:r>
      <w:r>
        <w:t xml:space="preserve"> </w:t>
      </w:r>
      <w:r>
        <w:rPr>
          <w:rFonts w:hint="eastAsia"/>
        </w:rPr>
        <w:t xml:space="preserve">MS的优势在于高通量、低成本和微量样本需求，非常适合临床大队列筛查；而LC-MS/MS则在糖蛋白位点特异性分析和低丰度糖链检测方面具有更高分辨率。</w:t>
      </w:r>
    </w:p>
    <w:p>
      <w:pPr>
        <w:pStyle w:val="BodyText"/>
      </w:pPr>
      <w:r>
        <w:drawing>
          <wp:inline>
            <wp:extent cx="5334000" cy="3933345"/>
            <wp:effectExtent b="0" l="0" r="0" t="0"/>
            <wp:docPr descr="Figure 1" title="" id="24" name="Picture"/>
            <a:graphic>
              <a:graphicData uri="http://schemas.openxmlformats.org/drawingml/2006/picture">
                <pic:pic>
                  <pic:nvPicPr>
                    <pic:cNvPr descr="figures/fig1_bibliometrics.png" id="25" name="Picture"/>
                    <pic:cNvPicPr>
                      <a:picLocks noChangeArrowheads="1" noChangeAspect="1"/>
                    </pic:cNvPicPr>
                  </pic:nvPicPr>
                  <pic:blipFill>
                    <a:blip r:embed="rId23"/>
                    <a:stretch>
                      <a:fillRect/>
                    </a:stretch>
                  </pic:blipFill>
                  <pic:spPr bwMode="auto">
                    <a:xfrm>
                      <a:off x="0" y="0"/>
                      <a:ext cx="5334000" cy="3933345"/>
                    </a:xfrm>
                    <a:prstGeom prst="rect">
                      <a:avLst/>
                    </a:prstGeom>
                    <a:noFill/>
                    <a:ln w="9525">
                      <a:noFill/>
                      <a:headEnd/>
                      <a:tailEnd/>
                    </a:ln>
                  </pic:spPr>
                </pic:pic>
              </a:graphicData>
            </a:graphic>
          </wp:inline>
        </w:drawing>
      </w:r>
      <w:r>
        <w:t xml:space="preserve"> </w:t>
      </w:r>
      <w:r>
        <w:rPr>
          <w:rFonts w:hint="eastAsia"/>
          <w:b/>
          <w:bCs/>
        </w:rPr>
        <w:t xml:space="preserve">图1</w:t>
      </w:r>
      <w:r>
        <w:t xml:space="preserve"> </w:t>
      </w:r>
      <w:r>
        <w:rPr>
          <w:rFonts w:hint="eastAsia"/>
        </w:rPr>
        <w:t xml:space="preserve">甲状腺癌糖组学文献计量学概览。（A）年度发表量分布；（B）样本类型构成；（C）癌种覆盖度；（D）分析方法学分布。</w:t>
      </w:r>
    </w:p>
    <w:bookmarkEnd w:id="26"/>
    <w:bookmarkStart w:id="27" w:name="数据库架构与内容统计"/>
    <w:p>
      <w:pPr>
        <w:pStyle w:val="Heading3"/>
      </w:pPr>
      <w:r>
        <w:t xml:space="preserve">3.2 </w:t>
      </w:r>
      <w:r>
        <w:rPr>
          <w:rFonts w:hint="eastAsia"/>
        </w:rPr>
        <w:t xml:space="preserve">数据库架构与内容统计</w:t>
      </w:r>
    </w:p>
    <w:p>
      <w:pPr>
        <w:pStyle w:val="FirstParagraph"/>
      </w:pPr>
      <w:r>
        <w:rPr>
          <w:rFonts w:hint="eastAsia"/>
        </w:rPr>
        <w:t xml:space="preserve">ThyGlycoPortal采用严格规范化的关系型架构（图2），通过外键约束和中间关联表实现多对多关系的精确表达。例如，</w:t>
      </w:r>
      <w:r>
        <w:rPr>
          <w:rStyle w:val="VerbatimChar"/>
        </w:rPr>
        <w:t xml:space="preserve">enzyme_glycan_links</w:t>
      </w:r>
      <w:r>
        <w:rPr>
          <w:rFonts w:hint="eastAsia"/>
        </w:rPr>
        <w:t xml:space="preserve">表将</w:t>
      </w:r>
      <w:r>
        <w:rPr>
          <w:rStyle w:val="VerbatimChar"/>
        </w:rPr>
        <w:t xml:space="preserve">glycosyltransferases</w:t>
      </w:r>
      <w:r>
        <w:rPr>
          <w:rFonts w:hint="eastAsia"/>
        </w:rPr>
        <w:t xml:space="preserve">（酶维度）与</w:t>
      </w:r>
      <w:r>
        <w:rPr>
          <w:rStyle w:val="VerbatimChar"/>
        </w:rPr>
        <w:t xml:space="preserve">glycan_structures</w:t>
      </w:r>
      <w:r>
        <w:rPr>
          <w:rFonts w:hint="eastAsia"/>
        </w:rPr>
        <w:t xml:space="preserve">（糖链维度）解耦，支持一个酶调控多种糖链、一种糖链受多个酶调控的生物学现实。</w:t>
      </w:r>
    </w:p>
    <w:p>
      <w:pPr>
        <w:pStyle w:val="BodyText"/>
      </w:pPr>
      <w:r>
        <w:rPr>
          <w:rFonts w:hint="eastAsia"/>
        </w:rPr>
        <w:t xml:space="preserve">当前版本（v1.0）数据库内容统计如下：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数据类别</w:t>
            </w:r>
          </w:p>
        </w:tc>
        <w:tc>
          <w:tcPr/>
          <w:p>
            <w:pPr>
              <w:pStyle w:val="Compact"/>
            </w:pPr>
            <w:r>
              <w:rPr>
                <w:rFonts w:hint="eastAsia"/>
              </w:rPr>
              <w:t xml:space="preserve">记录数</w:t>
            </w:r>
          </w:p>
        </w:tc>
        <w:tc>
          <w:tcPr/>
          <w:p>
            <w:pPr>
              <w:pStyle w:val="Compact"/>
            </w:pPr>
            <w:r>
              <w:rPr>
                <w:rFonts w:hint="eastAsia"/>
              </w:rPr>
              <w:t xml:space="preserve">说明</w:t>
            </w:r>
          </w:p>
        </w:tc>
      </w:tr>
      <w:tr>
        <w:tc>
          <w:tcPr/>
          <w:p>
            <w:pPr>
              <w:pStyle w:val="Compact"/>
            </w:pPr>
            <w:r>
              <w:rPr>
                <w:rFonts w:hint="eastAsia"/>
              </w:rPr>
              <w:t xml:space="preserve">纳入研究</w:t>
            </w:r>
          </w:p>
        </w:tc>
        <w:tc>
          <w:tcPr/>
          <w:p>
            <w:pPr>
              <w:pStyle w:val="Compact"/>
            </w:pPr>
            <w:r>
              <w:rPr>
                <w:rFonts w:hint="eastAsia"/>
              </w:rPr>
              <w:t xml:space="preserve">11项</w:t>
            </w:r>
          </w:p>
        </w:tc>
        <w:tc>
          <w:tcPr/>
          <w:p>
            <w:pPr>
              <w:pStyle w:val="Compact"/>
            </w:pPr>
            <w:r>
              <w:rPr>
                <w:rFonts w:hint="eastAsia"/>
              </w:rPr>
              <w:t xml:space="preserve">9项原创研究</w:t>
            </w:r>
            <w:r>
              <w:t xml:space="preserve"> + </w:t>
            </w:r>
            <w:r>
              <w:rPr>
                <w:rFonts w:hint="eastAsia"/>
              </w:rPr>
              <w:t xml:space="preserve">2篇综述（2015–2025）</w:t>
            </w:r>
          </w:p>
        </w:tc>
      </w:tr>
      <w:tr>
        <w:tc>
          <w:tcPr/>
          <w:p>
            <w:pPr>
              <w:pStyle w:val="Compact"/>
            </w:pPr>
            <w:r>
              <w:rPr>
                <w:rFonts w:hint="eastAsia"/>
              </w:rPr>
              <w:t xml:space="preserve">核心N-糖链</w:t>
            </w:r>
          </w:p>
        </w:tc>
        <w:tc>
          <w:tcPr/>
          <w:p>
            <w:pPr>
              <w:pStyle w:val="Compact"/>
            </w:pPr>
            <w:r>
              <w:rPr>
                <w:rFonts w:hint="eastAsia"/>
              </w:rPr>
              <w:t xml:space="preserve">24种</w:t>
            </w:r>
          </w:p>
        </w:tc>
        <w:tc>
          <w:tcPr/>
          <w:p>
            <w:pPr>
              <w:pStyle w:val="Compact"/>
            </w:pPr>
            <w:r>
              <w:rPr>
                <w:rFonts w:hint="eastAsia"/>
              </w:rPr>
              <w:t xml:space="preserve">涵盖双天线型、高甘露糖型、多天线型和特殊修饰型</w:t>
            </w:r>
          </w:p>
        </w:tc>
      </w:tr>
      <w:tr>
        <w:tc>
          <w:tcPr/>
          <w:p>
            <w:pPr>
              <w:pStyle w:val="Compact"/>
            </w:pPr>
            <w:r>
              <w:rPr>
                <w:rFonts w:hint="eastAsia"/>
              </w:rPr>
              <w:t xml:space="preserve">临床分组</w:t>
            </w:r>
          </w:p>
        </w:tc>
        <w:tc>
          <w:tcPr/>
          <w:p>
            <w:pPr>
              <w:pStyle w:val="Compact"/>
            </w:pPr>
            <w:r>
              <w:rPr>
                <w:rFonts w:hint="eastAsia"/>
              </w:rPr>
              <w:t xml:space="preserve">17个</w:t>
            </w:r>
          </w:p>
        </w:tc>
        <w:tc>
          <w:tcPr/>
          <w:p>
            <w:pPr>
              <w:pStyle w:val="Compact"/>
            </w:pPr>
            <w:r>
              <w:rPr>
                <w:rFonts w:hint="eastAsia"/>
              </w:rPr>
              <w:t xml:space="preserve">覆盖HC、BTN、TC、复发、LNM等状态</w:t>
            </w:r>
          </w:p>
        </w:tc>
      </w:tr>
      <w:tr>
        <w:tc>
          <w:tcPr/>
          <w:p>
            <w:pPr>
              <w:pStyle w:val="Compact"/>
            </w:pPr>
            <w:r>
              <w:rPr>
                <w:rFonts w:hint="eastAsia"/>
              </w:rPr>
              <w:t xml:space="preserve">糖链丰度趋势</w:t>
            </w:r>
          </w:p>
        </w:tc>
        <w:tc>
          <w:tcPr/>
          <w:p>
            <w:pPr>
              <w:pStyle w:val="Compact"/>
            </w:pPr>
            <w:r>
              <w:rPr>
                <w:rFonts w:hint="eastAsia"/>
              </w:rPr>
              <w:t xml:space="preserve">21条</w:t>
            </w:r>
          </w:p>
        </w:tc>
        <w:tc>
          <w:tcPr/>
          <w:p>
            <w:pPr>
              <w:pStyle w:val="Compact"/>
            </w:pPr>
            <w:r>
              <w:rPr>
                <w:rFonts w:hint="eastAsia"/>
              </w:rPr>
              <w:t xml:space="preserve">上调/下调及显著性标注</w:t>
            </w:r>
          </w:p>
        </w:tc>
      </w:tr>
      <w:tr>
        <w:tc>
          <w:tcPr/>
          <w:p>
            <w:pPr>
              <w:pStyle w:val="Compact"/>
            </w:pPr>
            <w:r>
              <w:rPr>
                <w:rFonts w:hint="eastAsia"/>
              </w:rPr>
              <w:t xml:space="preserve">生物标志物</w:t>
            </w:r>
          </w:p>
        </w:tc>
        <w:tc>
          <w:tcPr/>
          <w:p>
            <w:pPr>
              <w:pStyle w:val="Compact"/>
            </w:pPr>
            <w:r>
              <w:rPr>
                <w:rFonts w:hint="eastAsia"/>
              </w:rPr>
              <w:t xml:space="preserve">7个</w:t>
            </w:r>
          </w:p>
        </w:tc>
        <w:tc>
          <w:tcPr/>
          <w:p>
            <w:pPr>
              <w:pStyle w:val="Compact"/>
            </w:pPr>
            <w:r>
              <w:rPr>
                <w:rFonts w:hint="eastAsia"/>
              </w:rPr>
              <w:t xml:space="preserve">3个诊断标志物、3个预后标志物、1个双向标志物</w:t>
            </w:r>
          </w:p>
        </w:tc>
      </w:tr>
      <w:tr>
        <w:tc>
          <w:tcPr/>
          <w:p>
            <w:pPr>
              <w:pStyle w:val="Compact"/>
            </w:pPr>
            <w:r>
              <w:rPr>
                <w:rFonts w:hint="eastAsia"/>
              </w:rPr>
              <w:t xml:space="preserve">糖基转移酶</w:t>
            </w:r>
          </w:p>
        </w:tc>
        <w:tc>
          <w:tcPr/>
          <w:p>
            <w:pPr>
              <w:pStyle w:val="Compact"/>
            </w:pPr>
            <w:r>
              <w:rPr>
                <w:rFonts w:hint="eastAsia"/>
              </w:rPr>
              <w:t xml:space="preserve">8个</w:t>
            </w:r>
          </w:p>
        </w:tc>
        <w:tc>
          <w:tcPr/>
          <w:p>
            <w:pPr>
              <w:pStyle w:val="Compact"/>
            </w:pPr>
            <w:r>
              <w:rPr>
                <w:rFonts w:hint="eastAsia"/>
              </w:rPr>
              <w:t xml:space="preserve">涉及岩藻糖基化、唾液酸化、半乳糖基化、分支和硫酸化通路</w:t>
            </w:r>
          </w:p>
        </w:tc>
      </w:tr>
      <w:tr>
        <w:tc>
          <w:tcPr/>
          <w:p>
            <w:pPr>
              <w:pStyle w:val="Compact"/>
            </w:pPr>
            <w:r>
              <w:rPr>
                <w:rFonts w:hint="eastAsia"/>
              </w:rPr>
              <w:t xml:space="preserve">酶-糖链关联</w:t>
            </w:r>
          </w:p>
        </w:tc>
        <w:tc>
          <w:tcPr/>
          <w:p>
            <w:pPr>
              <w:pStyle w:val="Compact"/>
            </w:pPr>
            <w:r>
              <w:rPr>
                <w:rFonts w:hint="eastAsia"/>
              </w:rPr>
              <w:t xml:space="preserve">12条</w:t>
            </w:r>
          </w:p>
        </w:tc>
        <w:tc>
          <w:tcPr/>
          <w:p>
            <w:pPr>
              <w:pStyle w:val="Compact"/>
            </w:pPr>
            <w:r>
              <w:rPr>
                <w:rFonts w:hint="eastAsia"/>
              </w:rPr>
              <w:t xml:space="preserve">实验验证或文献推断的调控关系</w:t>
            </w:r>
          </w:p>
        </w:tc>
      </w:tr>
      <w:tr>
        <w:tc>
          <w:tcPr/>
          <w:p>
            <w:pPr>
              <w:pStyle w:val="Compact"/>
            </w:pPr>
            <w:r>
              <w:rPr>
                <w:rFonts w:hint="eastAsia"/>
              </w:rPr>
              <w:t xml:space="preserve">文献提取统计量</w:t>
            </w:r>
          </w:p>
        </w:tc>
        <w:tc>
          <w:tcPr/>
          <w:p>
            <w:pPr>
              <w:pStyle w:val="Compact"/>
            </w:pPr>
            <w:r>
              <w:rPr>
                <w:rFonts w:hint="eastAsia"/>
              </w:rPr>
              <w:t xml:space="preserve">15条</w:t>
            </w:r>
          </w:p>
        </w:tc>
        <w:tc>
          <w:tcPr/>
          <w:p>
            <w:pPr>
              <w:pStyle w:val="Compact"/>
            </w:pPr>
            <w:r>
              <w:rPr>
                <w:rFonts w:hint="eastAsia"/>
              </w:rPr>
              <w:t xml:space="preserve">均值±SD、中位数、AUC等原始汇总数据</w:t>
            </w:r>
          </w:p>
        </w:tc>
      </w:tr>
      <w:tr>
        <w:tc>
          <w:tcPr/>
          <w:p>
            <w:pPr>
              <w:pStyle w:val="Compact"/>
            </w:pPr>
            <w:r>
              <w:rPr>
                <w:rFonts w:hint="eastAsia"/>
              </w:rPr>
              <w:t xml:space="preserve">TCGA糖基因表达</w:t>
            </w:r>
          </w:p>
        </w:tc>
        <w:tc>
          <w:tcPr/>
          <w:p>
            <w:pPr>
              <w:pStyle w:val="Compact"/>
            </w:pPr>
            <w:r>
              <w:rPr>
                <w:rFonts w:hint="eastAsia"/>
              </w:rPr>
              <w:t xml:space="preserve">10个基因</w:t>
            </w:r>
          </w:p>
        </w:tc>
        <w:tc>
          <w:tcPr/>
          <w:p>
            <w:pPr>
              <w:pStyle w:val="Compact"/>
            </w:pPr>
            <w:r>
              <w:rPr>
                <w:rFonts w:hint="eastAsia"/>
              </w:rPr>
              <w:t xml:space="preserve">20对配对样本的median</w:t>
            </w:r>
            <w:r>
              <w:t xml:space="preserve"> </w:t>
            </w:r>
            <w:r>
              <w:rPr>
                <w:rFonts w:hint="eastAsia"/>
              </w:rPr>
              <w:t xml:space="preserve">RPKM和fold</w:t>
            </w:r>
            <w:r>
              <w:t xml:space="preserve"> change</w:t>
            </w:r>
          </w:p>
        </w:tc>
      </w:tr>
    </w:tbl>
    <w:bookmarkEnd w:id="27"/>
    <w:bookmarkStart w:id="34" w:name="数据策展与质量控制流程"/>
    <w:p>
      <w:pPr>
        <w:pStyle w:val="Heading3"/>
      </w:pPr>
      <w:r>
        <w:t xml:space="preserve">3.3 </w:t>
      </w:r>
      <w:r>
        <w:rPr>
          <w:rFonts w:hint="eastAsia"/>
        </w:rPr>
        <w:t xml:space="preserve">数据策展与质量控制流程</w:t>
      </w:r>
    </w:p>
    <w:p>
      <w:pPr>
        <w:pStyle w:val="FirstParagraph"/>
      </w:pPr>
      <w:r>
        <w:rPr>
          <w:rFonts w:hint="eastAsia"/>
        </w:rPr>
        <w:t xml:space="preserve">ThyGlycoPortal的数据策展流程遵循”检索→筛选→提取→验证→入库→审计”六步闭环（图3）。每一批次数据入库前必须通过自动化测试套件验证，任何违反完整性约束的记录均被拒绝并返回人工复核。</w:t>
      </w:r>
    </w:p>
    <w:p>
      <w:pPr>
        <w:pStyle w:val="BodyText"/>
      </w:pPr>
      <w:r>
        <w:rPr>
          <w:rFonts w:hint="eastAsia"/>
        </w:rPr>
        <w:t xml:space="preserve">在9项提供原始数据的原创研究中，部分研究提供了可直接从文本提取的精确数值，部分研究需要从图表数字化提取（使用WebPlotDigitizer），数字化提取的数据在数据库中以近似值标志注明。数字化提取的数据在数据库中以</w:t>
      </w:r>
      <w:r>
        <w:rPr>
          <w:rStyle w:val="VerbatimChar"/>
        </w:rPr>
        <w:t xml:space="preserve">data_quality_flag</w:t>
      </w:r>
      <w:r>
        <w:rPr>
          <w:rFonts w:hint="eastAsia"/>
        </w:rPr>
        <w:t xml:space="preserve">字段标记为”digitized_approximation”，确保用户知晓其近似性质。</w:t>
      </w:r>
    </w:p>
    <w:p>
      <w:pPr>
        <w:pStyle w:val="BodyText"/>
      </w:pPr>
      <w:r>
        <w:rPr>
          <w:rFonts w:hint="eastAsia"/>
        </w:rPr>
        <w:t xml:space="preserve">数据质量保证报告确认：</w:t>
      </w:r>
      <w:r>
        <w:t xml:space="preserve"> </w:t>
      </w:r>
      <w:r>
        <w:t xml:space="preserve">- </w:t>
      </w:r>
      <w:r>
        <w:rPr>
          <w:rFonts w:hint="eastAsia"/>
        </w:rPr>
        <w:t xml:space="preserve">纳入文献均通过PMID/PMCID可追溯至原始期刊；</w:t>
      </w:r>
      <w:r>
        <w:t xml:space="preserve"> </w:t>
      </w:r>
      <w:r>
        <w:t xml:space="preserve">- </w:t>
      </w:r>
      <w:r>
        <w:rPr>
          <w:rFonts w:hint="eastAsia"/>
        </w:rPr>
        <w:t xml:space="preserve">数字化提取数据均已标注”approximated”标志；</w:t>
      </w:r>
      <w:r>
        <w:t xml:space="preserve"> </w:t>
      </w:r>
      <w:r>
        <w:t xml:space="preserve">- </w:t>
      </w:r>
      <w:r>
        <w:rPr>
          <w:rFonts w:hint="eastAsia"/>
        </w:rPr>
        <w:t xml:space="preserve">范围校验无异常值记录；</w:t>
      </w:r>
      <w:r>
        <w:t xml:space="preserve"> </w:t>
      </w:r>
      <w:r>
        <w:t xml:space="preserve">- </w:t>
      </w:r>
      <w:r>
        <w:rPr>
          <w:rFonts w:hint="eastAsia"/>
        </w:rPr>
        <w:t xml:space="preserve">单元测试套件全部通过。</w:t>
      </w:r>
    </w:p>
    <w:p>
      <w:pPr>
        <w:pStyle w:val="BodyText"/>
      </w:pPr>
      <w:r>
        <w:drawing>
          <wp:inline>
            <wp:extent cx="5334000" cy="3799035"/>
            <wp:effectExtent b="0" l="0" r="0" t="0"/>
            <wp:docPr descr="Figure 2" title="" id="29" name="Picture"/>
            <a:graphic>
              <a:graphicData uri="http://schemas.openxmlformats.org/drawingml/2006/picture">
                <pic:pic>
                  <pic:nvPicPr>
                    <pic:cNvPr descr="figures/fig2_database_schema.png" id="30" name="Picture"/>
                    <pic:cNvPicPr>
                      <a:picLocks noChangeArrowheads="1" noChangeAspect="1"/>
                    </pic:cNvPicPr>
                  </pic:nvPicPr>
                  <pic:blipFill>
                    <a:blip r:embed="rId28"/>
                    <a:stretch>
                      <a:fillRect/>
                    </a:stretch>
                  </pic:blipFill>
                  <pic:spPr bwMode="auto">
                    <a:xfrm>
                      <a:off x="0" y="0"/>
                      <a:ext cx="5334000" cy="3799035"/>
                    </a:xfrm>
                    <a:prstGeom prst="rect">
                      <a:avLst/>
                    </a:prstGeom>
                    <a:noFill/>
                    <a:ln w="9525">
                      <a:noFill/>
                      <a:headEnd/>
                      <a:tailEnd/>
                    </a:ln>
                  </pic:spPr>
                </pic:pic>
              </a:graphicData>
            </a:graphic>
          </wp:inline>
        </w:drawing>
      </w:r>
      <w:r>
        <w:t xml:space="preserve"> </w:t>
      </w:r>
      <w:r>
        <w:rPr>
          <w:rFonts w:hint="eastAsia"/>
          <w:b/>
          <w:bCs/>
        </w:rPr>
        <w:t xml:space="preserve">图2</w:t>
      </w:r>
      <w:r>
        <w:t xml:space="preserve"> </w:t>
      </w:r>
      <w:r>
        <w:rPr>
          <w:rFonts w:hint="eastAsia"/>
        </w:rPr>
        <w:t xml:space="preserve">ThyGlycoPortal关系型数据库架构图（第三范式）。实线箭头表示外键关联，虚线箭头表示真实数据表与核心架构的映射关系。PK=主键，FK=外键。</w:t>
      </w:r>
    </w:p>
    <w:p>
      <w:pPr>
        <w:pStyle w:val="BodyText"/>
      </w:pPr>
      <w:r>
        <w:drawing>
          <wp:inline>
            <wp:extent cx="5334000" cy="3031553"/>
            <wp:effectExtent b="0" l="0" r="0" t="0"/>
            <wp:docPr descr="Figure 3" title="" id="32" name="Picture"/>
            <a:graphic>
              <a:graphicData uri="http://schemas.openxmlformats.org/drawingml/2006/picture">
                <pic:pic>
                  <pic:nvPicPr>
                    <pic:cNvPr descr="figures/fig3_qc_pipeline.png" id="33" name="Picture"/>
                    <pic:cNvPicPr>
                      <a:picLocks noChangeArrowheads="1" noChangeAspect="1"/>
                    </pic:cNvPicPr>
                  </pic:nvPicPr>
                  <pic:blipFill>
                    <a:blip r:embed="rId31"/>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rFonts w:hint="eastAsia"/>
          <w:b/>
          <w:bCs/>
        </w:rPr>
        <w:t xml:space="preserve">图3</w:t>
      </w:r>
      <w:r>
        <w:t xml:space="preserve"> </w:t>
      </w:r>
      <w:r>
        <w:rPr>
          <w:rFonts w:hint="eastAsia"/>
        </w:rPr>
        <w:t xml:space="preserve">数据策展与质量保证流程。从PubMed检索到最终入库，每个阶段均有明确的纳入/排除标准和质控检查点。</w:t>
      </w:r>
    </w:p>
    <w:bookmarkEnd w:id="34"/>
    <w:bookmarkStart w:id="38" w:name="糖基转移酶-糖链调控网络"/>
    <w:p>
      <w:pPr>
        <w:pStyle w:val="Heading3"/>
      </w:pPr>
      <w:r>
        <w:t xml:space="preserve">3.4 </w:t>
      </w:r>
      <w:r>
        <w:rPr>
          <w:rFonts w:hint="eastAsia"/>
        </w:rPr>
        <w:t xml:space="preserve">糖基转移酶-糖链调控网络</w:t>
      </w:r>
    </w:p>
    <w:p>
      <w:pPr>
        <w:pStyle w:val="FirstParagraph"/>
      </w:pPr>
      <w:r>
        <w:rPr>
          <w:rFonts w:hint="eastAsia"/>
        </w:rPr>
        <w:t xml:space="preserve">平台整合了8种关键糖基转移酶及其调控的糖链关联网络（图4）。网络分析揭示了甲状腺癌中几条核心的糖基化通路重编程：</w:t>
      </w:r>
    </w:p>
    <w:p>
      <w:pPr>
        <w:pStyle w:val="Compact"/>
        <w:numPr>
          <w:ilvl w:val="0"/>
          <w:numId w:val="1005"/>
        </w:numPr>
      </w:pPr>
      <w:r>
        <w:rPr>
          <w:rFonts w:hint="eastAsia"/>
          <w:b/>
          <w:bCs/>
        </w:rPr>
        <w:t xml:space="preserve">岩藻糖基化通路</w:t>
      </w:r>
      <w:r>
        <w:rPr>
          <w:rFonts w:hint="eastAsia"/>
        </w:rPr>
        <w:t xml:space="preserve">：FUT8（核心岩藻糖转移酶）催化G0F、G1F和G2F的核心岩藻糖修饰。文献报道FUT8介导的核心岩藻糖基化在PTC中表达升高，提示该修饰可能参与PTC的表型维持。</w:t>
      </w:r>
    </w:p>
    <w:p>
      <w:pPr>
        <w:pStyle w:val="Compact"/>
        <w:numPr>
          <w:ilvl w:val="0"/>
          <w:numId w:val="1005"/>
        </w:numPr>
      </w:pPr>
      <w:r>
        <w:rPr>
          <w:rFonts w:hint="eastAsia"/>
          <w:b/>
          <w:bCs/>
        </w:rPr>
        <w:t xml:space="preserve">半乳糖基化通路</w:t>
      </w:r>
      <w:r>
        <w:rPr>
          <w:rFonts w:hint="eastAsia"/>
        </w:rPr>
        <w:t xml:space="preserve">：B4GALT1负责将半乳糖转移至N-糖链末端，直接影响G0F→G1F→G2F的转化。在复发性DTC中，G0F升高伴随G1F和G2F降低，反映了B4GALT1活性下降或底物竞争改变[7]。</w:t>
      </w:r>
    </w:p>
    <w:p>
      <w:pPr>
        <w:pStyle w:val="Compact"/>
        <w:numPr>
          <w:ilvl w:val="0"/>
          <w:numId w:val="1005"/>
        </w:numPr>
      </w:pPr>
      <w:r>
        <w:rPr>
          <w:rFonts w:hint="eastAsia"/>
          <w:b/>
          <w:bCs/>
        </w:rPr>
        <w:t xml:space="preserve">分支化通路</w:t>
      </w:r>
      <w:r>
        <w:rPr>
          <w:rFonts w:hint="eastAsia"/>
        </w:rPr>
        <w:t xml:space="preserve">：MGAT5催化β1,6-GlcNAc分支形成，是CA4（四天线型糖链）合成的关键酶。MGAT5在TCGA-THCA数据中显示1.50倍上调（p&lt;0.05），与PTC中多分支糖链增加的趋势一致[24]。</w:t>
      </w:r>
    </w:p>
    <w:p>
      <w:pPr>
        <w:pStyle w:val="Compact"/>
        <w:numPr>
          <w:ilvl w:val="0"/>
          <w:numId w:val="1005"/>
        </w:numPr>
      </w:pPr>
      <w:r>
        <w:rPr>
          <w:rFonts w:hint="eastAsia"/>
          <w:b/>
          <w:bCs/>
        </w:rPr>
        <w:t xml:space="preserve">硫酸化通路</w:t>
      </w:r>
      <w:r>
        <w:rPr>
          <w:rFonts w:hint="eastAsia"/>
        </w:rPr>
        <w:t xml:space="preserve">：GAL3ST3在PTC组织中特异性催化3-O-硫酸化半乳糖（3-O-Su-Gal）的形成，这是甲状腺癌中首次发现的独特糖基化特征[25]。</w:t>
      </w:r>
    </w:p>
    <w:p>
      <w:pPr>
        <w:pStyle w:val="FirstParagraph"/>
      </w:pPr>
      <w:r>
        <w:drawing>
          <wp:inline>
            <wp:extent cx="5334000" cy="4437529"/>
            <wp:effectExtent b="0" l="0" r="0" t="0"/>
            <wp:docPr descr="Figure 4" title="" id="36" name="Picture"/>
            <a:graphic>
              <a:graphicData uri="http://schemas.openxmlformats.org/drawingml/2006/picture">
                <pic:pic>
                  <pic:nvPicPr>
                    <pic:cNvPr descr="figures/fig4_enzyme_glycan_network.png" id="37" name="Picture"/>
                    <pic:cNvPicPr>
                      <a:picLocks noChangeArrowheads="1" noChangeAspect="1"/>
                    </pic:cNvPicPr>
                  </pic:nvPicPr>
                  <pic:blipFill>
                    <a:blip r:embed="rId35"/>
                    <a:stretch>
                      <a:fillRect/>
                    </a:stretch>
                  </pic:blipFill>
                  <pic:spPr bwMode="auto">
                    <a:xfrm>
                      <a:off x="0" y="0"/>
                      <a:ext cx="5334000" cy="4437529"/>
                    </a:xfrm>
                    <a:prstGeom prst="rect">
                      <a:avLst/>
                    </a:prstGeom>
                    <a:noFill/>
                    <a:ln w="9525">
                      <a:noFill/>
                      <a:headEnd/>
                      <a:tailEnd/>
                    </a:ln>
                  </pic:spPr>
                </pic:pic>
              </a:graphicData>
            </a:graphic>
          </wp:inline>
        </w:drawing>
      </w:r>
      <w:r>
        <w:t xml:space="preserve"> </w:t>
      </w:r>
      <w:r>
        <w:rPr>
          <w:rFonts w:hint="eastAsia"/>
          <w:b/>
          <w:bCs/>
        </w:rPr>
        <w:t xml:space="preserve">图4</w:t>
      </w:r>
      <w:r>
        <w:t xml:space="preserve"> </w:t>
      </w:r>
      <w:r>
        <w:rPr>
          <w:rFonts w:hint="eastAsia"/>
        </w:rPr>
        <w:t xml:space="preserve">甲状腺癌中糖基转移酶-糖链调控网络。节点大小与文献支持度相关，边的颜色表示调控的化学修饰类型。</w:t>
      </w:r>
    </w:p>
    <w:bookmarkEnd w:id="38"/>
    <w:bookmarkStart w:id="42" w:name="交互工具与使用案例"/>
    <w:p>
      <w:pPr>
        <w:pStyle w:val="Heading3"/>
      </w:pPr>
      <w:r>
        <w:t xml:space="preserve">3.5 </w:t>
      </w:r>
      <w:r>
        <w:rPr>
          <w:rFonts w:hint="eastAsia"/>
        </w:rPr>
        <w:t xml:space="preserve">交互工具与使用案例</w:t>
      </w:r>
    </w:p>
    <w:p>
      <w:pPr>
        <w:pStyle w:val="FirstParagraph"/>
      </w:pPr>
      <w:r>
        <w:rPr>
          <w:rFonts w:hint="eastAsia"/>
        </w:rPr>
        <w:t xml:space="preserve">ThyGlycoPortal设计了3类代表性使用场景（Use</w:t>
      </w:r>
      <w:r>
        <w:t xml:space="preserve"> </w:t>
      </w:r>
      <w:r>
        <w:rPr>
          <w:rFonts w:hint="eastAsia"/>
        </w:rPr>
        <w:t xml:space="preserve">Cases），覆盖从临床决策到基础研究的不同需求（图5）：</w:t>
      </w:r>
    </w:p>
    <w:p>
      <w:pPr>
        <w:pStyle w:val="BodyText"/>
      </w:pPr>
      <w:r>
        <w:rPr>
          <w:rFonts w:hint="eastAsia"/>
          <w:b/>
          <w:bCs/>
        </w:rPr>
        <w:t xml:space="preserve">使用案例1：临床决策支持（Clinical</w:t>
      </w:r>
      <w:r>
        <w:rPr>
          <w:b/>
          <w:bCs/>
        </w:rPr>
        <w:t xml:space="preserve"> Decision </w:t>
      </w:r>
      <w:r>
        <w:rPr>
          <w:rFonts w:hint="eastAsia"/>
          <w:b/>
          <w:bCs/>
        </w:rPr>
        <w:t xml:space="preserve">Support）</w:t>
      </w:r>
      <w:r>
        <w:t xml:space="preserve"> </w:t>
      </w:r>
      <w:r>
        <w:rPr>
          <w:rFonts w:hint="eastAsia"/>
        </w:rPr>
        <w:t xml:space="preserve">内分泌科医生接诊一名FNA细胞学诊断为Bethesda</w:t>
      </w:r>
      <w:r>
        <w:t xml:space="preserve"> </w:t>
      </w:r>
      <w:r>
        <w:rPr>
          <w:rFonts w:hint="eastAsia"/>
        </w:rPr>
        <w:t xml:space="preserve">III类的甲状腺结节患者。医生将患者的IgG</w:t>
      </w:r>
      <w:r>
        <w:t xml:space="preserve"> </w:t>
      </w:r>
      <w:r>
        <w:rPr>
          <w:rFonts w:hint="eastAsia"/>
        </w:rPr>
        <w:t xml:space="preserve">N-糖组学MALDI-TOF检测结果输入ThyGlycoPortal的”Diagnostic</w:t>
      </w:r>
      <w:r>
        <w:t xml:space="preserve"> </w:t>
      </w:r>
      <w:r>
        <w:rPr>
          <w:rFonts w:hint="eastAsia"/>
        </w:rPr>
        <w:t xml:space="preserve">Tool”模块，平台自动计算BN（双分支中性糖链）相对丰度，并基于Zhang等（2021）报道的判别模型（AUC=0.920）输出恶性概率。平台输出基于文献模型的恶性概率估计及对应的不确定性范围，为临床医生在FNA结果不明确时的决策提供定量参考。</w:t>
      </w:r>
    </w:p>
    <w:p>
      <w:pPr>
        <w:pStyle w:val="BodyText"/>
      </w:pPr>
      <w:r>
        <w:rPr>
          <w:rFonts w:hint="eastAsia"/>
          <w:b/>
          <w:bCs/>
        </w:rPr>
        <w:t xml:space="preserve">使用案例2：跨研究糖链比较（Cross-study</w:t>
      </w:r>
      <w:r>
        <w:rPr>
          <w:b/>
          <w:bCs/>
        </w:rPr>
        <w:t xml:space="preserve"> Glycan </w:t>
      </w:r>
      <w:r>
        <w:rPr>
          <w:rFonts w:hint="eastAsia"/>
          <w:b/>
          <w:bCs/>
        </w:rPr>
        <w:t xml:space="preserve">Comparison）</w:t>
      </w:r>
      <w:r>
        <w:t xml:space="preserve"> </w:t>
      </w:r>
      <w:r>
        <w:rPr>
          <w:rFonts w:hint="eastAsia"/>
        </w:rPr>
        <w:t xml:space="preserve">糖生物学研究人员关注G2F糖链（双半乳糖基化核心岩藻糖化双天线型）在甲状腺癌中的变化趋势。通过”Glycan</w:t>
      </w:r>
      <w:r>
        <w:t xml:space="preserve"> </w:t>
      </w:r>
      <w:r>
        <w:rPr>
          <w:rFonts w:hint="eastAsia"/>
        </w:rPr>
        <w:t xml:space="preserve">Browser”模块，研究者发现：在Kudelka等（2023）的复发预测研究中，G2F在复发DTC中呈降低趋势；而在Wu等（2021）的BTN/TC区分研究中，G2F在恶性与良性结节中均低于健康对照。这一跨研究比较提示G2F降低可能是甲状腺恶性转化的早期事件，而非仅与晚期复发相关，从而激发新的Meta分析假设。</w:t>
      </w:r>
    </w:p>
    <w:p>
      <w:pPr>
        <w:pStyle w:val="BodyText"/>
      </w:pPr>
      <w:r>
        <w:rPr>
          <w:rFonts w:hint="eastAsia"/>
          <w:b/>
          <w:bCs/>
        </w:rPr>
        <w:t xml:space="preserve">使用案例3：多组学数据参考与整合（Multi-omics</w:t>
      </w:r>
      <w:r>
        <w:rPr>
          <w:b/>
          <w:bCs/>
        </w:rPr>
        <w:t xml:space="preserve"> Data </w:t>
      </w:r>
      <w:r>
        <w:rPr>
          <w:rFonts w:hint="eastAsia"/>
          <w:b/>
          <w:bCs/>
        </w:rPr>
        <w:t xml:space="preserve">Integration）</w:t>
      </w:r>
      <w:r>
        <w:t xml:space="preserve"> </w:t>
      </w:r>
      <w:r>
        <w:rPr>
          <w:rFonts w:hint="eastAsia"/>
        </w:rPr>
        <w:t xml:space="preserve">生物信息学家计划开展一项独立的甲状腺癌多组学研究，需要了解已报道的糖基转移酶表达模式和糖链变化趋势作为先验知识。研究者通过ThyGlycoPortal的”TCGA</w:t>
      </w:r>
      <w:r>
        <w:t xml:space="preserve"> </w:t>
      </w:r>
      <w:r>
        <w:rPr>
          <w:rFonts w:hint="eastAsia"/>
        </w:rPr>
        <w:t xml:space="preserve">Expression”模块获取10个关键糖基因在20对配对样本中的median</w:t>
      </w:r>
      <w:r>
        <w:t xml:space="preserve"> </w:t>
      </w:r>
      <w:r>
        <w:rPr>
          <w:rFonts w:hint="eastAsia"/>
        </w:rPr>
        <w:t xml:space="preserve">RPKM和fold</w:t>
      </w:r>
      <w:r>
        <w:t xml:space="preserve"> </w:t>
      </w:r>
      <w:r>
        <w:rPr>
          <w:rFonts w:hint="eastAsia"/>
        </w:rPr>
        <w:t xml:space="preserve">change信息（如MGAT5在PTC中上调1.50倍，p&lt;0.05），同时从”Glycan</w:t>
      </w:r>
      <w:r>
        <w:t xml:space="preserve"> </w:t>
      </w:r>
      <w:r>
        <w:rPr>
          <w:rFonts w:hint="eastAsia"/>
        </w:rPr>
        <w:t xml:space="preserve">Browser”模块获取CA4在PTMC中升高的文献证据。这些已发表的汇总统计量为研究者设计实验方案、选择候选标志物和设定效应量预期提供了重要参考。此外，研究者可通过”Data</w:t>
      </w:r>
      <w:r>
        <w:t xml:space="preserve"> </w:t>
      </w:r>
      <w:r>
        <w:rPr>
          <w:rFonts w:hint="eastAsia"/>
        </w:rPr>
        <w:t xml:space="preserve">Upload”模块上传自有MALDI-TOF糖组学CSV文件，与文献基准进行可视化比较。</w:t>
      </w:r>
    </w:p>
    <w:p>
      <w:pPr>
        <w:pStyle w:val="BodyText"/>
      </w:pPr>
      <w:r>
        <w:drawing>
          <wp:inline>
            <wp:extent cx="5334000" cy="3415294"/>
            <wp:effectExtent b="0" l="0" r="0" t="0"/>
            <wp:docPr descr="Figure 5" title="" id="40" name="Picture"/>
            <a:graphic>
              <a:graphicData uri="http://schemas.openxmlformats.org/drawingml/2006/picture">
                <pic:pic>
                  <pic:nvPicPr>
                    <pic:cNvPr descr="figures/fig5_use_cases.png" id="41" name="Picture"/>
                    <pic:cNvPicPr>
                      <a:picLocks noChangeArrowheads="1" noChangeAspect="1"/>
                    </pic:cNvPicPr>
                  </pic:nvPicPr>
                  <pic:blipFill>
                    <a:blip r:embed="rId39"/>
                    <a:stretch>
                      <a:fillRect/>
                    </a:stretch>
                  </pic:blipFill>
                  <pic:spPr bwMode="auto">
                    <a:xfrm>
                      <a:off x="0" y="0"/>
                      <a:ext cx="5334000" cy="3415294"/>
                    </a:xfrm>
                    <a:prstGeom prst="rect">
                      <a:avLst/>
                    </a:prstGeom>
                    <a:noFill/>
                    <a:ln w="9525">
                      <a:noFill/>
                      <a:headEnd/>
                      <a:tailEnd/>
                    </a:ln>
                  </pic:spPr>
                </pic:pic>
              </a:graphicData>
            </a:graphic>
          </wp:inline>
        </w:drawing>
      </w:r>
      <w:r>
        <w:t xml:space="preserve"> </w:t>
      </w:r>
      <w:r>
        <w:rPr>
          <w:rFonts w:hint="eastAsia"/>
          <w:b/>
          <w:bCs/>
        </w:rPr>
        <w:t xml:space="preserve">图5</w:t>
      </w:r>
      <w:r>
        <w:t xml:space="preserve"> </w:t>
      </w:r>
      <w:r>
        <w:rPr>
          <w:rFonts w:hint="eastAsia"/>
        </w:rPr>
        <w:t xml:space="preserve">ThyGlycoPortal三类代表性使用场景。（上）临床决策支持；（中）跨研究糖链比较；（下）多组学整合分析。所有场景均支持结果导出为CSV/JSON格式，并自动生成引文。</w:t>
      </w:r>
    </w:p>
    <w:bookmarkEnd w:id="42"/>
    <w:bookmarkStart w:id="46" w:name="数据库覆盖度与fair评估"/>
    <w:p>
      <w:pPr>
        <w:pStyle w:val="Heading3"/>
      </w:pPr>
      <w:r>
        <w:t xml:space="preserve">3.6 </w:t>
      </w:r>
      <w:r>
        <w:rPr>
          <w:rFonts w:hint="eastAsia"/>
        </w:rPr>
        <w:t xml:space="preserve">数据库覆盖度与FAIR评估</w:t>
      </w:r>
    </w:p>
    <w:p>
      <w:pPr>
        <w:pStyle w:val="FirstParagraph"/>
      </w:pPr>
      <w:r>
        <w:rPr>
          <w:rFonts w:hint="eastAsia"/>
        </w:rPr>
        <w:t xml:space="preserve">ThyGlycoPortal当前版本的数据覆盖度和FAIR原则自评估结果如图6所示。在可发现性维度（4.5/5.0），平台通过GitHub仓库、README文档和结构化元数据（JSON-LD格式）实现了较高的可索引性；在互操作性维度（3.5/5.0）尚存提升空间，主要因为糖链命名尚未完全对接GlycoCoO等社区本体，部分字段仍使用实验室内部术语。</w:t>
      </w:r>
    </w:p>
    <w:p>
      <w:pPr>
        <w:pStyle w:val="BodyText"/>
      </w:pPr>
      <w:r>
        <w:drawing>
          <wp:inline>
            <wp:extent cx="5334000" cy="2362126"/>
            <wp:effectExtent b="0" l="0" r="0" t="0"/>
            <wp:docPr descr="Figure 6" title="" id="44" name="Picture"/>
            <a:graphic>
              <a:graphicData uri="http://schemas.openxmlformats.org/drawingml/2006/picture">
                <pic:pic>
                  <pic:nvPicPr>
                    <pic:cNvPr descr="figures/fig6_coverage_fair.png" id="45" name="Picture"/>
                    <pic:cNvPicPr>
                      <a:picLocks noChangeArrowheads="1" noChangeAspect="1"/>
                    </pic:cNvPicPr>
                  </pic:nvPicPr>
                  <pic:blipFill>
                    <a:blip r:embed="rId43"/>
                    <a:stretch>
                      <a:fillRect/>
                    </a:stretch>
                  </pic:blipFill>
                  <pic:spPr bwMode="auto">
                    <a:xfrm>
                      <a:off x="0" y="0"/>
                      <a:ext cx="5334000" cy="2362126"/>
                    </a:xfrm>
                    <a:prstGeom prst="rect">
                      <a:avLst/>
                    </a:prstGeom>
                    <a:noFill/>
                    <a:ln w="9525">
                      <a:noFill/>
                      <a:headEnd/>
                      <a:tailEnd/>
                    </a:ln>
                  </pic:spPr>
                </pic:pic>
              </a:graphicData>
            </a:graphic>
          </wp:inline>
        </w:drawing>
      </w:r>
      <w:r>
        <w:t xml:space="preserve"> </w:t>
      </w:r>
      <w:r>
        <w:rPr>
          <w:rFonts w:hint="eastAsia"/>
          <w:b/>
          <w:bCs/>
        </w:rPr>
        <w:t xml:space="preserve">图6</w:t>
      </w:r>
      <w:r>
        <w:t xml:space="preserve"> </w:t>
      </w:r>
      <w:r>
        <w:rPr>
          <w:rFonts w:hint="eastAsia"/>
        </w:rPr>
        <w:t xml:space="preserve">（左）ThyGlycoPortal</w:t>
      </w:r>
      <w:r>
        <w:t xml:space="preserve"> </w:t>
      </w:r>
      <w:r>
        <w:rPr>
          <w:rFonts w:hint="eastAsia"/>
        </w:rPr>
        <w:t xml:space="preserve">v1.0数据库内容统计；（右）FAIR数据原则四维度自评估（1–5分制）。红色虚线表示可接受的最低阈值（3.0分）。</w:t>
      </w:r>
    </w:p>
    <w:bookmarkEnd w:id="46"/>
    <w:bookmarkStart w:id="50" w:name="与现有数据库的比较"/>
    <w:p>
      <w:pPr>
        <w:pStyle w:val="Heading3"/>
      </w:pPr>
      <w:r>
        <w:t xml:space="preserve">3.7 </w:t>
      </w:r>
      <w:r>
        <w:rPr>
          <w:rFonts w:hint="eastAsia"/>
        </w:rPr>
        <w:t xml:space="preserve">与现有数据库的比较</w:t>
      </w:r>
    </w:p>
    <w:p>
      <w:pPr>
        <w:pStyle w:val="FirstParagraph"/>
      </w:pPr>
      <w:r>
        <w:rPr>
          <w:rFonts w:hint="eastAsia"/>
        </w:rPr>
        <w:t xml:space="preserve">表1从数据类型、疾病特异性、临床工具、数据溯源和互操作性五个维度，对ThyGlycoPortal与6个现有相关数据库进行了详细比较。ThyGlycoPortal的主要特点包括：（1）据我们所知，首个专注于甲状腺癌的糖基化交互分析平台；（2）同时覆盖糖链水平、酶水平和临床标志物水平的多维整合；（3）所有数据均基于文献溯源并提供完整数据来源标注；（4）提供交互式临床决策工具（诊断计算器、列线图），超越静态数据浏览模式。</w:t>
      </w:r>
    </w:p>
    <w:p>
      <w:pPr>
        <w:pStyle w:val="BodyText"/>
      </w:pPr>
      <w:r>
        <w:drawing>
          <wp:inline>
            <wp:extent cx="5334000" cy="2506044"/>
            <wp:effectExtent b="0" l="0" r="0" t="0"/>
            <wp:docPr descr="Table 1" title="" id="48" name="Picture"/>
            <a:graphic>
              <a:graphicData uri="http://schemas.openxmlformats.org/drawingml/2006/picture">
                <pic:pic>
                  <pic:nvPicPr>
                    <pic:cNvPr descr="figures/table1_database_comparison_en.png" id="49" name="Picture"/>
                    <pic:cNvPicPr>
                      <a:picLocks noChangeArrowheads="1" noChangeAspect="1"/>
                    </pic:cNvPicPr>
                  </pic:nvPicPr>
                  <pic:blipFill>
                    <a:blip r:embed="rId47"/>
                    <a:stretch>
                      <a:fillRect/>
                    </a:stretch>
                  </pic:blipFill>
                  <pic:spPr bwMode="auto">
                    <a:xfrm>
                      <a:off x="0" y="0"/>
                      <a:ext cx="5334000" cy="2506044"/>
                    </a:xfrm>
                    <a:prstGeom prst="rect">
                      <a:avLst/>
                    </a:prstGeom>
                    <a:noFill/>
                    <a:ln w="9525">
                      <a:noFill/>
                      <a:headEnd/>
                      <a:tailEnd/>
                    </a:ln>
                  </pic:spPr>
                </pic:pic>
              </a:graphicData>
            </a:graphic>
          </wp:inline>
        </w:drawing>
      </w:r>
      <w:r>
        <w:t xml:space="preserve"> </w:t>
      </w:r>
      <w:r>
        <w:rPr>
          <w:rFonts w:hint="eastAsia"/>
          <w:b/>
          <w:bCs/>
        </w:rPr>
        <w:t xml:space="preserve">表1</w:t>
      </w:r>
      <w:r>
        <w:t xml:space="preserve"> </w:t>
      </w:r>
      <w:r>
        <w:rPr>
          <w:rFonts w:hint="eastAsia"/>
        </w:rPr>
        <w:t xml:space="preserve">现有糖组学/癌症数据库与ThyGlycoPortal的多维度功能比较。</w:t>
      </w:r>
    </w:p>
    <w:p>
      <w:r>
        <w:pict>
          <v:rect style="width:0;height:1.5pt" o:hralign="center" o:hrstd="t" o:hr="t"/>
        </w:pict>
      </w:r>
    </w:p>
    <w:bookmarkEnd w:id="50"/>
    <w:bookmarkEnd w:id="51"/>
    <w:bookmarkStart w:id="56" w:name="讨论-discussion"/>
    <w:p>
      <w:pPr>
        <w:pStyle w:val="Heading2"/>
      </w:pPr>
      <w:r>
        <w:t xml:space="preserve">4. </w:t>
      </w:r>
      <w:r>
        <w:rPr>
          <w:rFonts w:hint="eastAsia"/>
        </w:rPr>
        <w:t xml:space="preserve">讨论</w:t>
      </w:r>
      <w:r>
        <w:t xml:space="preserve"> (Discussion)</w:t>
      </w:r>
    </w:p>
    <w:bookmarkStart w:id="52" w:name="甲状腺癌糖组学专病平台的价值与必要性"/>
    <w:p>
      <w:pPr>
        <w:pStyle w:val="Heading3"/>
      </w:pPr>
      <w:r>
        <w:t xml:space="preserve">4.1 </w:t>
      </w:r>
      <w:r>
        <w:rPr>
          <w:rFonts w:hint="eastAsia"/>
        </w:rPr>
        <w:t xml:space="preserve">甲状腺癌糖组学专病平台的价值与必要性</w:t>
      </w:r>
    </w:p>
    <w:p>
      <w:pPr>
        <w:pStyle w:val="FirstParagraph"/>
      </w:pPr>
      <w:r>
        <w:rPr>
          <w:rFonts w:hint="eastAsia"/>
        </w:rPr>
        <w:t xml:space="preserve">ThyGlycoPortal的构建源于一个简单而深刻的观察：尽管甲状腺癌糖组学研究已积累了可观的实验证据，但这些知识仍以碎片化形式散落于数百篇论文中，临床医生和研究人员难以高效地获取、比较和转化这些发现。本研究通过系统性的文献检索、标准化的数据策展和严格的质量保证，首次将这一领域的核心知识整合为可查询、可比较、可交互的数字化资源。</w:t>
      </w:r>
    </w:p>
    <w:p>
      <w:pPr>
        <w:pStyle w:val="BodyText"/>
      </w:pPr>
      <w:r>
        <w:rPr>
          <w:rFonts w:hint="eastAsia"/>
        </w:rPr>
        <w:t xml:space="preserve">与通用型糖组学数据库（GlycoPOST、UniCarbKB）相比，ThyGlycoPortal的核心价值不仅在于糖链结构的数量，更在于</w:t>
      </w:r>
      <w:r>
        <w:rPr>
          <w:rFonts w:hint="eastAsia"/>
          <w:b/>
          <w:bCs/>
        </w:rPr>
        <w:t xml:space="preserve">知识密度</w:t>
      </w:r>
      <w:r>
        <w:rPr>
          <w:rFonts w:hint="eastAsia"/>
        </w:rPr>
        <w:t xml:space="preserve">——每条记录都直接关联到甲状腺癌的特定临床场景（诊断、复发、转移），并附带完整的统计证据和样本上下文。这种”以临床问题为导向”的整合策略，比单纯的”以数据量为导向”的存储模式更符合精准医学的需求。</w:t>
      </w:r>
    </w:p>
    <w:bookmarkEnd w:id="52"/>
    <w:bookmarkStart w:id="53" w:name="文献驱动型数据库的方法学价值与局限"/>
    <w:p>
      <w:pPr>
        <w:pStyle w:val="Heading3"/>
      </w:pPr>
      <w:r>
        <w:t xml:space="preserve">4.2 </w:t>
      </w:r>
      <w:r>
        <w:rPr>
          <w:rFonts w:hint="eastAsia"/>
        </w:rPr>
        <w:t xml:space="preserve">文献驱动型数据库的方法学价值与局限</w:t>
      </w:r>
    </w:p>
    <w:p>
      <w:pPr>
        <w:pStyle w:val="FirstParagraph"/>
      </w:pPr>
      <w:r>
        <w:rPr>
          <w:rFonts w:hint="eastAsia"/>
        </w:rPr>
        <w:t xml:space="preserve">ThyGlycoPortal代表了一种”文献驱动型数据库”（Literature-Driven</w:t>
      </w:r>
      <w:r>
        <w:t xml:space="preserve"> Database, </w:t>
      </w:r>
      <w:r>
        <w:rPr>
          <w:rFonts w:hint="eastAsia"/>
        </w:rPr>
        <w:t xml:space="preserve">LDD）的构建范式，其核心特征是以已发表文献的汇总统计量为数据源，而非原始个体水平数据。这一范式在以下场景中具有独特优势：</w:t>
      </w:r>
    </w:p>
    <w:p>
      <w:pPr>
        <w:pStyle w:val="BodyText"/>
      </w:pPr>
      <w:r>
        <w:rPr>
          <w:rFonts w:hint="eastAsia"/>
          <w:b/>
          <w:bCs/>
        </w:rPr>
        <w:t xml:space="preserve">第一，快速构建与低门槛</w:t>
      </w:r>
      <w:r>
        <w:rPr>
          <w:rFonts w:hint="eastAsia"/>
        </w:rPr>
        <w:t xml:space="preserve">。原始个体数据的获取往往受限于作者意愿、伦理审查和数据共享政策，周期长达数月甚至数年。而汇总统计量（均值、SD、AUC）作为文献的固有组成部分，可在论文发表后立即提取和利用，显著降低了数据库建设的启动门槛。</w:t>
      </w:r>
    </w:p>
    <w:p>
      <w:pPr>
        <w:pStyle w:val="BodyText"/>
      </w:pPr>
      <w:r>
        <w:rPr>
          <w:rFonts w:hint="eastAsia"/>
          <w:b/>
          <w:bCs/>
        </w:rPr>
        <w:t xml:space="preserve">第二，统计可靠性</w:t>
      </w:r>
      <w:r>
        <w:rPr>
          <w:rFonts w:hint="eastAsia"/>
        </w:rPr>
        <w:t xml:space="preserve">。文献中报告的汇总统计量通常已经过严格的质量控制、归一化和多重检验校正，其可靠性往往高于研究者自行从原始数据重新计算的结果，尤其是在处理跨实验室、跨平台的数据时。</w:t>
      </w:r>
    </w:p>
    <w:p>
      <w:pPr>
        <w:pStyle w:val="BodyText"/>
      </w:pPr>
      <w:r>
        <w:rPr>
          <w:rFonts w:hint="eastAsia"/>
          <w:b/>
          <w:bCs/>
        </w:rPr>
        <w:t xml:space="preserve">第三，临床直接相关性</w:t>
      </w:r>
      <w:r>
        <w:rPr>
          <w:rFonts w:hint="eastAsia"/>
        </w:rPr>
        <w:t xml:space="preserve">。AUC、敏感性、特异性等诊断性能参数是临床决策的直接依据，而这些参数在原始数据层面并不存在，必须通过统计分析从个体数据中导出。</w:t>
      </w:r>
    </w:p>
    <w:p>
      <w:pPr>
        <w:pStyle w:val="BodyText"/>
      </w:pPr>
      <w:r>
        <w:rPr>
          <w:rFonts w:hint="eastAsia"/>
        </w:rPr>
        <w:t xml:space="preserve">然而，LDD范式也存在固有局限。由于无法获取个体水平数据，平台无法开展基于原始数据的Meta分析、无法构建个体化预测模型、也无法进行亚组分析（如按年龄、性别、TNM分期分层）。此外，由于部分纳入研究未报告具体样本量（S003、S004、S007、S008、S010、S011），平台在统计效能评估方面存在信息缺口。这些局限性决定了ThyGlycoPortal在当前阶段更适合作为</w:t>
      </w:r>
      <w:r>
        <w:rPr>
          <w:rFonts w:hint="eastAsia"/>
          <w:b/>
          <w:bCs/>
        </w:rPr>
        <w:t xml:space="preserve">知识整合与假设生成工具</w:t>
      </w:r>
      <w:r>
        <w:rPr>
          <w:rFonts w:hint="eastAsia"/>
        </w:rPr>
        <w:t xml:space="preserve">，而非</w:t>
      </w:r>
      <w:r>
        <w:rPr>
          <w:rFonts w:hint="eastAsia"/>
          <w:b/>
          <w:bCs/>
        </w:rPr>
        <w:t xml:space="preserve">个体化临床预测系统</w:t>
      </w:r>
      <w:r>
        <w:rPr>
          <w:rFonts w:hint="eastAsia"/>
        </w:rPr>
        <w:t xml:space="preserve">。未来通过与原始数据贡献者的合作，逐步引入个体水平数据集，是实现从LDD向综合型数据库（Integrated</w:t>
      </w:r>
      <w:r>
        <w:t xml:space="preserve"> </w:t>
      </w:r>
      <w:r>
        <w:rPr>
          <w:rFonts w:hint="eastAsia"/>
        </w:rPr>
        <w:t xml:space="preserve">Database）跃迁的关键路径。</w:t>
      </w:r>
    </w:p>
    <w:bookmarkEnd w:id="53"/>
    <w:bookmarkStart w:id="54" w:name="局限性与挑战"/>
    <w:p>
      <w:pPr>
        <w:pStyle w:val="Heading3"/>
      </w:pPr>
      <w:r>
        <w:t xml:space="preserve">4.3 </w:t>
      </w:r>
      <w:r>
        <w:rPr>
          <w:rFonts w:hint="eastAsia"/>
        </w:rPr>
        <w:t xml:space="preserve">局限性与挑战</w:t>
      </w:r>
    </w:p>
    <w:p>
      <w:pPr>
        <w:pStyle w:val="FirstParagraph"/>
      </w:pPr>
      <w:r>
        <w:t xml:space="preserve">ThyGlycoPortal </w:t>
      </w:r>
      <w:r>
        <w:rPr>
          <w:rFonts w:hint="eastAsia"/>
        </w:rPr>
        <w:t xml:space="preserve">v1.0存在以下局限性，需要在后续版本中逐步解决：</w:t>
      </w:r>
    </w:p>
    <w:p>
      <w:pPr>
        <w:pStyle w:val="BodyText"/>
      </w:pPr>
      <w:r>
        <w:rPr>
          <w:rFonts w:hint="eastAsia"/>
          <w:b/>
          <w:bCs/>
        </w:rPr>
        <w:t xml:space="preserve">数据层面的局限</w:t>
      </w:r>
      <w:r>
        <w:rPr>
          <w:rFonts w:hint="eastAsia"/>
        </w:rPr>
        <w:t xml:space="preserve">：</w:t>
      </w:r>
      <w:r>
        <w:t xml:space="preserve"> </w:t>
      </w:r>
      <w:r>
        <w:t xml:space="preserve">-</w:t>
      </w:r>
      <w:r>
        <w:t xml:space="preserve"> </w:t>
      </w:r>
      <w:r>
        <w:rPr>
          <w:rFonts w:hint="eastAsia"/>
          <w:b/>
          <w:bCs/>
        </w:rPr>
        <w:t xml:space="preserve">样本量约束</w:t>
      </w:r>
      <w:r>
        <w:rPr>
          <w:rFonts w:hint="eastAsia"/>
        </w:rPr>
        <w:t xml:space="preserve">：当前纳入的原创研究多为单中心、小样本设计，可统计的总样本量约227例（部分研究未报告具体样本量）。这限制了个体化预测模型的构建和外部验证的可靠性。</w:t>
      </w:r>
      <w:r>
        <w:t xml:space="preserve"> </w:t>
      </w:r>
      <w:r>
        <w:t xml:space="preserve">-</w:t>
      </w:r>
      <w:r>
        <w:t xml:space="preserve"> </w:t>
      </w:r>
      <w:r>
        <w:rPr>
          <w:rFonts w:hint="eastAsia"/>
          <w:b/>
          <w:bCs/>
        </w:rPr>
        <w:t xml:space="preserve">个体数据不可得</w:t>
      </w:r>
      <w:r>
        <w:rPr>
          <w:rFonts w:hint="eastAsia"/>
        </w:rPr>
        <w:t xml:space="preserve">：由于原始作者通常不公开个体水平的糖链丰度矩阵，当前数据库仅包含汇总统计量（均值、SD、AUC），无法开展基于原始数据的分布式Meta分析或机器学习建模。</w:t>
      </w:r>
      <w:r>
        <w:t xml:space="preserve"> </w:t>
      </w:r>
      <w:r>
        <w:t xml:space="preserve">-</w:t>
      </w:r>
      <w:r>
        <w:t xml:space="preserve"> </w:t>
      </w:r>
      <w:r>
        <w:rPr>
          <w:rFonts w:hint="eastAsia"/>
          <w:b/>
          <w:bCs/>
        </w:rPr>
        <w:t xml:space="preserve">TCGA数据规模</w:t>
      </w:r>
      <w:r>
        <w:rPr>
          <w:rFonts w:hint="eastAsia"/>
        </w:rPr>
        <w:t xml:space="preserve">：当前整合的TCGA糖基因数据来自Bones等（2018）对20对配对样本的分析，而非完整TCGA-THCA队列（n&gt;500）。这一定量差异可能影响差异表达分析的统计效能和泛化能力。</w:t>
      </w:r>
      <w:r>
        <w:t xml:space="preserve"> </w:t>
      </w:r>
      <w:r>
        <w:t xml:space="preserve">-</w:t>
      </w:r>
      <w:r>
        <w:t xml:space="preserve"> </w:t>
      </w:r>
      <w:r>
        <w:rPr>
          <w:rFonts w:hint="eastAsia"/>
          <w:b/>
          <w:bCs/>
        </w:rPr>
        <w:t xml:space="preserve">糖型覆盖不全</w:t>
      </w:r>
      <w:r>
        <w:rPr>
          <w:rFonts w:hint="eastAsia"/>
        </w:rPr>
        <w:t xml:space="preserve">：当前平台主要覆盖N-糖基化数据，对O-糖基化、糖脂和糖胺聚糖等其他糖组学维度的支持尚待扩展。</w:t>
      </w:r>
    </w:p>
    <w:p>
      <w:pPr>
        <w:pStyle w:val="BodyText"/>
      </w:pPr>
      <w:r>
        <w:rPr>
          <w:rFonts w:hint="eastAsia"/>
          <w:b/>
          <w:bCs/>
        </w:rPr>
        <w:t xml:space="preserve">技术层面的局限</w:t>
      </w:r>
      <w:r>
        <w:rPr>
          <w:rFonts w:hint="eastAsia"/>
        </w:rPr>
        <w:t xml:space="preserve">：</w:t>
      </w:r>
      <w:r>
        <w:t xml:space="preserve"> </w:t>
      </w:r>
      <w:r>
        <w:t xml:space="preserve">-</w:t>
      </w:r>
      <w:r>
        <w:t xml:space="preserve"> </w:t>
      </w:r>
      <w:r>
        <w:rPr>
          <w:rFonts w:hint="eastAsia"/>
          <w:b/>
          <w:bCs/>
        </w:rPr>
        <w:t xml:space="preserve">互操作性待提升</w:t>
      </w:r>
      <w:r>
        <w:rPr>
          <w:rFonts w:hint="eastAsia"/>
        </w:rPr>
        <w:t xml:space="preserve">：糖链命名尚未完全对接GlycoCoO、GNOme等社区本体，限制了与UniCarbKB、GlyGen等外部资源的语义互操作。</w:t>
      </w:r>
      <w:r>
        <w:t xml:space="preserve"> </w:t>
      </w:r>
      <w:r>
        <w:t xml:space="preserve">-</w:t>
      </w:r>
      <w:r>
        <w:t xml:space="preserve"> </w:t>
      </w:r>
      <w:r>
        <w:rPr>
          <w:rFonts w:hint="eastAsia"/>
          <w:b/>
          <w:bCs/>
        </w:rPr>
        <w:t xml:space="preserve">实时更新机制</w:t>
      </w:r>
      <w:r>
        <w:rPr>
          <w:rFonts w:hint="eastAsia"/>
        </w:rPr>
        <w:t xml:space="preserve">：当前版本为静态发布（v1.0），尚未建立自动化的文献监测和数据增量更新管道。</w:t>
      </w:r>
      <w:r>
        <w:t xml:space="preserve"> </w:t>
      </w:r>
      <w:r>
        <w:t xml:space="preserve">-</w:t>
      </w:r>
      <w:r>
        <w:t xml:space="preserve"> </w:t>
      </w:r>
      <w:r>
        <w:rPr>
          <w:rFonts w:hint="eastAsia"/>
          <w:b/>
          <w:bCs/>
        </w:rPr>
        <w:t xml:space="preserve">高并发性能</w:t>
      </w:r>
      <w:r>
        <w:rPr>
          <w:rFonts w:hint="eastAsia"/>
        </w:rPr>
        <w:t xml:space="preserve">：基于R</w:t>
      </w:r>
      <w:r>
        <w:t xml:space="preserve"> </w:t>
      </w:r>
      <w:r>
        <w:rPr>
          <w:rFonts w:hint="eastAsia"/>
        </w:rPr>
        <w:t xml:space="preserve">Shiny的单线程架构在并发用户&gt;100时可能出现性能瓶颈，未来需考虑迁移至Plumber</w:t>
      </w:r>
      <w:r>
        <w:t xml:space="preserve"> API + </w:t>
      </w:r>
      <w:r>
        <w:rPr>
          <w:rFonts w:hint="eastAsia"/>
        </w:rPr>
        <w:t xml:space="preserve">React前端的分层架构。</w:t>
      </w:r>
    </w:p>
    <w:bookmarkEnd w:id="54"/>
    <w:bookmarkStart w:id="55" w:name="未来发展方向"/>
    <w:p>
      <w:pPr>
        <w:pStyle w:val="Heading3"/>
      </w:pPr>
      <w:r>
        <w:t xml:space="preserve">4.4 </w:t>
      </w:r>
      <w:r>
        <w:rPr>
          <w:rFonts w:hint="eastAsia"/>
        </w:rPr>
        <w:t xml:space="preserve">未来发展方向</w:t>
      </w:r>
    </w:p>
    <w:p>
      <w:pPr>
        <w:pStyle w:val="FirstParagraph"/>
      </w:pPr>
      <w:r>
        <w:rPr>
          <w:rFonts w:hint="eastAsia"/>
        </w:rPr>
        <w:t xml:space="preserve">基于上述局限性，我们制定了ThyGlycoPortal的三年发展路线图：</w:t>
      </w:r>
    </w:p>
    <w:p>
      <w:pPr>
        <w:pStyle w:val="BodyText"/>
      </w:pPr>
      <w:r>
        <w:rPr>
          <w:rFonts w:hint="eastAsia"/>
          <w:b/>
          <w:bCs/>
        </w:rPr>
        <w:t xml:space="preserve">短期目标（6–12个月）</w:t>
      </w:r>
      <w:r>
        <w:rPr>
          <w:rFonts w:hint="eastAsia"/>
        </w:rPr>
        <w:t xml:space="preserve">：</w:t>
      </w:r>
      <w:r>
        <w:t xml:space="preserve"> </w:t>
      </w:r>
      <w:r>
        <w:t xml:space="preserve">- </w:t>
      </w:r>
      <w:r>
        <w:rPr>
          <w:rFonts w:hint="eastAsia"/>
        </w:rPr>
        <w:t xml:space="preserve">使用TCGAbiolinks下载完整TCGA-THCA队列（n=505）的RNA-seq原始count数据，独立进行糖基因差异表达和生存分析；</w:t>
      </w:r>
      <w:r>
        <w:t xml:space="preserve"> </w:t>
      </w:r>
      <w:r>
        <w:t xml:space="preserve">- </w:t>
      </w:r>
      <w:r>
        <w:rPr>
          <w:rFonts w:hint="eastAsia"/>
        </w:rPr>
        <w:t xml:space="preserve">建立自动化PubMed文献监测管道（基于NCBI</w:t>
      </w:r>
      <w:r>
        <w:t xml:space="preserve"> E-utilities </w:t>
      </w:r>
      <w:r>
        <w:rPr>
          <w:rFonts w:hint="eastAsia"/>
        </w:rPr>
        <w:t xml:space="preserve">API），实现季度增量更新；</w:t>
      </w:r>
      <w:r>
        <w:t xml:space="preserve"> </w:t>
      </w:r>
      <w:r>
        <w:t xml:space="preserve">- </w:t>
      </w:r>
      <w:r>
        <w:rPr>
          <w:rFonts w:hint="eastAsia"/>
        </w:rPr>
        <w:t xml:space="preserve">对接GlycoCoO本体，实现糖链命名的标准化语义映射。</w:t>
      </w:r>
    </w:p>
    <w:p>
      <w:pPr>
        <w:pStyle w:val="BodyText"/>
      </w:pPr>
      <w:r>
        <w:rPr>
          <w:rFonts w:hint="eastAsia"/>
          <w:b/>
          <w:bCs/>
        </w:rPr>
        <w:t xml:space="preserve">中期目标（1–2年）</w:t>
      </w:r>
      <w:r>
        <w:rPr>
          <w:rFonts w:hint="eastAsia"/>
        </w:rPr>
        <w:t xml:space="preserve">：</w:t>
      </w:r>
      <w:r>
        <w:t xml:space="preserve"> </w:t>
      </w:r>
      <w:r>
        <w:t xml:space="preserve">- </w:t>
      </w:r>
      <w:r>
        <w:rPr>
          <w:rFonts w:hint="eastAsia"/>
        </w:rPr>
        <w:t xml:space="preserve">开发用户数据贡献接口，支持领域专家通过标准化模板提交新研究数据，经策展审核后纳入数据库；</w:t>
      </w:r>
      <w:r>
        <w:t xml:space="preserve"> </w:t>
      </w:r>
      <w:r>
        <w:t xml:space="preserve">- </w:t>
      </w:r>
      <w:r>
        <w:rPr>
          <w:rFonts w:hint="eastAsia"/>
        </w:rPr>
        <w:t xml:space="preserve">整合单细胞RNA-seq数据（如GSE184362），解析糖基化通路的细胞类型特异性表达模式；</w:t>
      </w:r>
      <w:r>
        <w:t xml:space="preserve"> </w:t>
      </w:r>
      <w:r>
        <w:t xml:space="preserve">- </w:t>
      </w:r>
      <w:r>
        <w:rPr>
          <w:rFonts w:hint="eastAsia"/>
        </w:rPr>
        <w:t xml:space="preserve">开发机器学习模块，支持基于用户上传糖组学数据的自动分类和风险评分。</w:t>
      </w:r>
    </w:p>
    <w:p>
      <w:pPr>
        <w:pStyle w:val="BodyText"/>
      </w:pPr>
      <w:r>
        <w:rPr>
          <w:rFonts w:hint="eastAsia"/>
          <w:b/>
          <w:bCs/>
        </w:rPr>
        <w:t xml:space="preserve">长期目标（2–3年）</w:t>
      </w:r>
      <w:r>
        <w:rPr>
          <w:rFonts w:hint="eastAsia"/>
        </w:rPr>
        <w:t xml:space="preserve">：</w:t>
      </w:r>
      <w:r>
        <w:t xml:space="preserve"> </w:t>
      </w:r>
      <w:r>
        <w:t xml:space="preserve">- </w:t>
      </w:r>
      <w:r>
        <w:rPr>
          <w:rFonts w:hint="eastAsia"/>
        </w:rPr>
        <w:t xml:space="preserve">构建甲状腺癌糖组学知识图谱（Knowledge</w:t>
      </w:r>
      <w:r>
        <w:t xml:space="preserve"> </w:t>
      </w:r>
      <w:r>
        <w:rPr>
          <w:rFonts w:hint="eastAsia"/>
        </w:rPr>
        <w:t xml:space="preserve">Graph），整合糖链、酶、基因、药物和临床表型之间的多维关系，支持图神经网络推理；</w:t>
      </w:r>
      <w:r>
        <w:t xml:space="preserve"> </w:t>
      </w:r>
      <w:r>
        <w:t xml:space="preserve">- </w:t>
      </w:r>
      <w:r>
        <w:rPr>
          <w:rFonts w:hint="eastAsia"/>
        </w:rPr>
        <w:t xml:space="preserve">推动社区驱动的数据标准制定，发起”甲状腺癌糖组学数据共享倡议”（Thyroid</w:t>
      </w:r>
      <w:r>
        <w:t xml:space="preserve"> Cancer Glycomics Data Sharing </w:t>
      </w:r>
      <w:r>
        <w:rPr>
          <w:rFonts w:hint="eastAsia"/>
        </w:rPr>
        <w:t xml:space="preserve">Initiative），促进原始数据的公开发布和再利用。</w:t>
      </w:r>
    </w:p>
    <w:p>
      <w:r>
        <w:pict>
          <v:rect style="width:0;height:1.5pt" o:hralign="center" o:hrstd="t" o:hr="t"/>
        </w:pict>
      </w:r>
    </w:p>
    <w:bookmarkEnd w:id="55"/>
    <w:bookmarkEnd w:id="56"/>
    <w:bookmarkStart w:id="57" w:name="结论-conclusion"/>
    <w:p>
      <w:pPr>
        <w:pStyle w:val="Heading2"/>
      </w:pPr>
      <w:r>
        <w:t xml:space="preserve">5. </w:t>
      </w:r>
      <w:r>
        <w:rPr>
          <w:rFonts w:hint="eastAsia"/>
        </w:rPr>
        <w:t xml:space="preserve">结论</w:t>
      </w:r>
      <w:r>
        <w:t xml:space="preserve"> (Conclusion)</w:t>
      </w:r>
    </w:p>
    <w:p>
      <w:pPr>
        <w:pStyle w:val="FirstParagraph"/>
      </w:pPr>
      <w:r>
        <w:rPr>
          <w:rFonts w:hint="eastAsia"/>
        </w:rPr>
        <w:t xml:space="preserve">ThyGlycoPortal是首个专注于甲状腺癌糖基化研究的文献驱动型交互分析平台，填补了该领域专用知识整合工具和临床转化平台的空白。通过系统性的文献检索、标准化的数据策展和严格的质量保证流程，平台将9项原创研究及2篇综述中的糖组学知识转化为结构化、可查询、可交互的数字化资源。所有数据均来源于已发表文献的真实汇总统计量或公开数据库（TCGA），确保了知识的可靠性和可追溯性。</w:t>
      </w:r>
    </w:p>
    <w:p>
      <w:pPr>
        <w:pStyle w:val="BodyText"/>
      </w:pPr>
      <w:r>
        <w:rPr>
          <w:rFonts w:hint="eastAsia"/>
        </w:rPr>
        <w:t xml:space="preserve">平台不仅服务于临床医生的决策支持和研究人员的假设生成，更为基于文献汇总统计量构建专病数据库的方法学路径提供了实践案例。随着原始数据共享文化的普及和更多研究的纳入，ThyGlycoPortal将逐步从文献驱动型数据库向综合型知识平台演进，有望成为连接甲状腺癌糖组学基础研究、临床转化和精准医学的重要基础设施。</w:t>
      </w:r>
    </w:p>
    <w:p>
      <w:r>
        <w:pict>
          <v:rect style="width:0;height:1.5pt" o:hralign="center" o:hrstd="t" o:hr="t"/>
        </w:pict>
      </w:r>
    </w:p>
    <w:bookmarkEnd w:id="57"/>
    <w:bookmarkStart w:id="58" w:name="数据可用性-availability"/>
    <w:p>
      <w:pPr>
        <w:pStyle w:val="Heading2"/>
      </w:pPr>
      <w:r>
        <w:rPr>
          <w:rFonts w:hint="eastAsia"/>
        </w:rPr>
        <w:t xml:space="preserve">数据可用性</w:t>
      </w:r>
      <w:r>
        <w:t xml:space="preserve"> (Availability)</w:t>
      </w:r>
    </w:p>
    <w:p>
      <w:pPr>
        <w:pStyle w:val="FirstParagraph"/>
      </w:pPr>
      <w:r>
        <w:rPr>
          <w:rFonts w:hint="eastAsia"/>
        </w:rPr>
        <w:t xml:space="preserve">ThyGlycoPortal平台及全部源代码已在GitHub开源发布（https://github.com/[username]/ThyGlycoPortal）。平台提供以下访问方式：</w:t>
      </w:r>
      <w:r>
        <w:t xml:space="preserve"> </w:t>
      </w:r>
      <w:r>
        <w:t xml:space="preserve">-</w:t>
      </w:r>
      <w:r>
        <w:t xml:space="preserve"> </w:t>
      </w:r>
      <w:r>
        <w:rPr>
          <w:rFonts w:hint="eastAsia"/>
          <w:b/>
          <w:bCs/>
        </w:rPr>
        <w:t xml:space="preserve">在线演示</w:t>
      </w:r>
      <w:r>
        <w:rPr>
          <w:rFonts w:hint="eastAsia"/>
        </w:rPr>
        <w:t xml:space="preserve">：通过R</w:t>
      </w:r>
      <w:r>
        <w:t xml:space="preserve"> </w:t>
      </w:r>
      <w:r>
        <w:rPr>
          <w:rFonts w:hint="eastAsia"/>
        </w:rPr>
        <w:t xml:space="preserve">Shiny本地运行（</w:t>
      </w:r>
      <w:r>
        <w:rPr>
          <w:rStyle w:val="VerbatimChar"/>
        </w:rPr>
        <w:t xml:space="preserve">Rscript 09_run_shiny.R</w:t>
      </w:r>
      <w:r>
        <w:rPr>
          <w:rFonts w:hint="eastAsia"/>
        </w:rPr>
        <w:t xml:space="preserve">）</w:t>
      </w:r>
      <w:r>
        <w:t xml:space="preserve"> </w:t>
      </w:r>
      <w:r>
        <w:t xml:space="preserve">-</w:t>
      </w:r>
      <w:r>
        <w:t xml:space="preserve"> </w:t>
      </w:r>
      <w:r>
        <w:rPr>
          <w:rFonts w:hint="eastAsia"/>
          <w:b/>
          <w:bCs/>
        </w:rPr>
        <w:t xml:space="preserve">数据库下载</w:t>
      </w:r>
      <w:r>
        <w:rPr>
          <w:rFonts w:hint="eastAsia"/>
        </w:rPr>
        <w:t xml:space="preserve">：SQLite数据库文件（</w:t>
      </w:r>
      <w:r>
        <w:rPr>
          <w:rStyle w:val="VerbatimChar"/>
        </w:rPr>
        <w:t xml:space="preserve">output/thyroid_glyco_db.sqlite</w:t>
      </w:r>
      <w:r>
        <w:rPr>
          <w:rFonts w:hint="eastAsia"/>
        </w:rPr>
        <w:t xml:space="preserve">）可直接下载</w:t>
      </w:r>
      <w:r>
        <w:t xml:space="preserve"> </w:t>
      </w:r>
      <w:r>
        <w:t xml:space="preserve">-</w:t>
      </w:r>
      <w:r>
        <w:t xml:space="preserve"> </w:t>
      </w:r>
      <w:r>
        <w:rPr>
          <w:rFonts w:hint="eastAsia"/>
          <w:b/>
          <w:bCs/>
        </w:rPr>
        <w:t xml:space="preserve">批量导出</w:t>
      </w:r>
      <w:r>
        <w:rPr>
          <w:rFonts w:hint="eastAsia"/>
        </w:rPr>
        <w:t xml:space="preserve">：JSON和CSV格式的结构化数据集（</w:t>
      </w:r>
      <w:r>
        <w:rPr>
          <w:rStyle w:val="VerbatimChar"/>
        </w:rPr>
        <w:t xml:space="preserve">input/real_data/</w:t>
      </w:r>
      <w:r>
        <w:rPr>
          <w:rFonts w:hint="eastAsia"/>
        </w:rPr>
        <w:t xml:space="preserve">）</w:t>
      </w:r>
      <w:r>
        <w:t xml:space="preserve"> </w:t>
      </w:r>
      <w:r>
        <w:t xml:space="preserve">-</w:t>
      </w:r>
      <w:r>
        <w:t xml:space="preserve"> </w:t>
      </w:r>
      <w:r>
        <w:rPr>
          <w:rFonts w:hint="eastAsia"/>
          <w:b/>
          <w:bCs/>
        </w:rPr>
        <w:t xml:space="preserve">API接口</w:t>
      </w:r>
      <w:r>
        <w:rPr>
          <w:rFonts w:hint="eastAsia"/>
        </w:rPr>
        <w:t xml:space="preserve">：通过Python</w:t>
      </w:r>
      <w:r>
        <w:t xml:space="preserve"> </w:t>
      </w:r>
      <w:r>
        <w:rPr>
          <w:rFonts w:hint="eastAsia"/>
        </w:rPr>
        <w:t xml:space="preserve">sqlite3或R</w:t>
      </w:r>
      <w:r>
        <w:t xml:space="preserve"> </w:t>
      </w:r>
      <w:r>
        <w:rPr>
          <w:rFonts w:hint="eastAsia"/>
        </w:rPr>
        <w:t xml:space="preserve">RSQLite直接连接数据库进行编程式查询</w:t>
      </w:r>
    </w:p>
    <w:p>
      <w:pPr>
        <w:pStyle w:val="BodyText"/>
      </w:pPr>
      <w:r>
        <w:rPr>
          <w:rFonts w:hint="eastAsia"/>
        </w:rPr>
        <w:t xml:space="preserve">详细安装指南、数据字典和使用文档见项目README.md文件。</w:t>
      </w:r>
    </w:p>
    <w:p>
      <w:r>
        <w:pict>
          <v:rect style="width:0;height:1.5pt" o:hralign="center" o:hrstd="t" o:hr="t"/>
        </w:pict>
      </w:r>
    </w:p>
    <w:bookmarkEnd w:id="58"/>
    <w:bookmarkStart w:id="59" w:name="利益冲突声明-competing-interests"/>
    <w:p>
      <w:pPr>
        <w:pStyle w:val="Heading2"/>
      </w:pPr>
      <w:r>
        <w:rPr>
          <w:rFonts w:hint="eastAsia"/>
        </w:rPr>
        <w:t xml:space="preserve">利益冲突声明</w:t>
      </w:r>
      <w:r>
        <w:t xml:space="preserve"> (Competing Interests)</w:t>
      </w:r>
    </w:p>
    <w:p>
      <w:pPr>
        <w:pStyle w:val="FirstParagraph"/>
      </w:pPr>
      <w:r>
        <w:rPr>
          <w:rFonts w:hint="eastAsia"/>
        </w:rPr>
        <w:t xml:space="preserve">作者声明不存在利益冲突。</w:t>
      </w:r>
    </w:p>
    <w:bookmarkEnd w:id="59"/>
    <w:bookmarkStart w:id="60" w:name="资助信息-funding"/>
    <w:p>
      <w:pPr>
        <w:pStyle w:val="Heading2"/>
      </w:pPr>
      <w:r>
        <w:rPr>
          <w:rFonts w:hint="eastAsia"/>
        </w:rPr>
        <w:t xml:space="preserve">资助信息</w:t>
      </w:r>
      <w:r>
        <w:t xml:space="preserve"> (Funding)</w:t>
      </w:r>
    </w:p>
    <w:p>
      <w:pPr>
        <w:pStyle w:val="FirstParagraph"/>
      </w:pPr>
      <w:r>
        <w:rPr>
          <w:rFonts w:hint="eastAsia"/>
        </w:rPr>
        <w:t xml:space="preserve">本研究未接受特定资助。</w:t>
      </w:r>
    </w:p>
    <w:bookmarkEnd w:id="60"/>
    <w:bookmarkStart w:id="61" w:name="作者贡献-author-contributions"/>
    <w:p>
      <w:pPr>
        <w:pStyle w:val="Heading2"/>
      </w:pPr>
      <w:r>
        <w:rPr>
          <w:rFonts w:hint="eastAsia"/>
        </w:rPr>
        <w:t xml:space="preserve">作者贡献</w:t>
      </w:r>
      <w:r>
        <w:t xml:space="preserve"> (Author Contributions)</w:t>
      </w:r>
    </w:p>
    <w:p>
      <w:pPr>
        <w:pStyle w:val="FirstParagraph"/>
      </w:pPr>
      <w:r>
        <w:rPr>
          <w:rFonts w:hint="eastAsia"/>
        </w:rPr>
        <w:t xml:space="preserve">概念设计、数据策展、平台开发、论文撰写均由主要作者完成。</w:t>
      </w:r>
    </w:p>
    <w:p>
      <w:r>
        <w:pict>
          <v:rect style="width:0;height:1.5pt" o:hralign="center" o:hrstd="t" o:hr="t"/>
        </w:pict>
      </w:r>
    </w:p>
    <w:bookmarkEnd w:id="61"/>
    <w:bookmarkStart w:id="62" w:name="参考文献-references"/>
    <w:p>
      <w:pPr>
        <w:pStyle w:val="Heading2"/>
      </w:pPr>
      <w:r>
        <w:rPr>
          <w:rFonts w:hint="eastAsia"/>
        </w:rPr>
        <w:t xml:space="preserve">参考文献</w:t>
      </w:r>
      <w:r>
        <w:t xml:space="preserve"> (References)</w:t>
      </w:r>
    </w:p>
    <w:p>
      <w:pPr>
        <w:pStyle w:val="FirstParagraph"/>
      </w:pPr>
      <w:r>
        <w:t xml:space="preserve">[1] Sung H, Ferlay J, Siegel RL, et al. Global Cancer Statistics 2020: GLOBOCAN Estimates of Incidence and Mortality Worldwide for 36 Cancers in 185 Countries.</w:t>
      </w:r>
      <w:r>
        <w:t xml:space="preserve"> </w:t>
      </w:r>
      <w:r>
        <w:rPr>
          <w:i/>
          <w:iCs/>
        </w:rPr>
        <w:t xml:space="preserve">CA Cancer J Clin</w:t>
      </w:r>
      <w:r>
        <w:t xml:space="preserve">. 2021;71(3):209-249.</w:t>
      </w:r>
    </w:p>
    <w:p>
      <w:pPr>
        <w:pStyle w:val="BodyText"/>
      </w:pPr>
      <w:r>
        <w:t xml:space="preserve">[2] Lauby-Secretan B, Scoccianti C, Loomis D, et al. Body Fatness and Cancer–Viewpoint of the IARC Working Group.</w:t>
      </w:r>
      <w:r>
        <w:t xml:space="preserve"> </w:t>
      </w:r>
      <w:r>
        <w:rPr>
          <w:i/>
          <w:iCs/>
        </w:rPr>
        <w:t xml:space="preserve">N Engl J Med</w:t>
      </w:r>
      <w:r>
        <w:t xml:space="preserve">. 2016;375(8):794-798.</w:t>
      </w:r>
    </w:p>
    <w:p>
      <w:pPr>
        <w:pStyle w:val="BodyText"/>
      </w:pPr>
      <w:r>
        <w:t xml:space="preserve">[3] Cabanillas ME, McFadden DG, Durante C. Thyroid cancer.</w:t>
      </w:r>
      <w:r>
        <w:t xml:space="preserve"> </w:t>
      </w:r>
      <w:r>
        <w:rPr>
          <w:i/>
          <w:iCs/>
        </w:rPr>
        <w:t xml:space="preserve">Lancet</w:t>
      </w:r>
      <w:r>
        <w:t xml:space="preserve">. 2016;388(10061):2783-2795.</w:t>
      </w:r>
    </w:p>
    <w:p>
      <w:pPr>
        <w:pStyle w:val="BodyText"/>
      </w:pPr>
      <w:r>
        <w:t xml:space="preserve">[4] Nikiforov YE, Seethala RR, Tallini G, et al. Nomenclature Revision for Encapsulated Follicular Variant of Papillary Thyroid Carcinoma: A Paradigm Shift to Reduce Overtreatment of Indolent Tumors.</w:t>
      </w:r>
      <w:r>
        <w:t xml:space="preserve"> </w:t>
      </w:r>
      <w:r>
        <w:rPr>
          <w:i/>
          <w:iCs/>
        </w:rPr>
        <w:t xml:space="preserve">JAMA Oncol</w:t>
      </w:r>
      <w:r>
        <w:t xml:space="preserve">. 2016;2(8):1023-1029.</w:t>
      </w:r>
    </w:p>
    <w:p>
      <w:pPr>
        <w:pStyle w:val="BodyText"/>
      </w:pPr>
      <w:r>
        <w:t xml:space="preserve">[5] Cibas ES, Ali SZ. The 2017 Bethesda System for Reporting Thyroid Cytopathology.</w:t>
      </w:r>
      <w:r>
        <w:t xml:space="preserve"> </w:t>
      </w:r>
      <w:r>
        <w:rPr>
          <w:i/>
          <w:iCs/>
        </w:rPr>
        <w:t xml:space="preserve">Thyroid</w:t>
      </w:r>
      <w:r>
        <w:t xml:space="preserve">. 2017;27(11):1341-1346.</w:t>
      </w:r>
    </w:p>
    <w:p>
      <w:pPr>
        <w:pStyle w:val="BodyText"/>
      </w:pPr>
      <w:r>
        <w:t xml:space="preserve">[6] Haugen BR, Alexander EK, Bible KC, et al. 2015 American Thyroid Association Management Guidelines for Adult Patients with Thyroid Nodules and Differentiated Thyroid Cancer.</w:t>
      </w:r>
      <w:r>
        <w:t xml:space="preserve"> </w:t>
      </w:r>
      <w:r>
        <w:rPr>
          <w:i/>
          <w:iCs/>
        </w:rPr>
        <w:t xml:space="preserve">Thyroid</w:t>
      </w:r>
      <w:r>
        <w:t xml:space="preserve">. 2016;26(1):1-133.</w:t>
      </w:r>
    </w:p>
    <w:p>
      <w:pPr>
        <w:pStyle w:val="BodyText"/>
      </w:pPr>
      <w:r>
        <w:t xml:space="preserve">[7] Kudelka MR, Holst S, Champattanachai V, et al. Serum N-glycome profiling as a predictive biomarker of recurrence in patients with differentiated thyroid cancer.</w:t>
      </w:r>
      <w:r>
        <w:t xml:space="preserve"> </w:t>
      </w:r>
      <w:r>
        <w:rPr>
          <w:i/>
          <w:iCs/>
        </w:rPr>
        <w:t xml:space="preserve">Cancer Med</w:t>
      </w:r>
      <w:r>
        <w:t xml:space="preserve">. 2023;12(5):e5465.</w:t>
      </w:r>
    </w:p>
    <w:p>
      <w:pPr>
        <w:pStyle w:val="BodyText"/>
      </w:pPr>
      <w:r>
        <w:t xml:space="preserve">[8] Apweiler R, Hermjakob H, Sharon N. On the frequency of protein glycosylation, as deduced from analysis of the SWISS-PROT database.</w:t>
      </w:r>
      <w:r>
        <w:t xml:space="preserve"> </w:t>
      </w:r>
      <w:r>
        <w:rPr>
          <w:i/>
          <w:iCs/>
        </w:rPr>
        <w:t xml:space="preserve">Biochim Biophys Acta</w:t>
      </w:r>
      <w:r>
        <w:t xml:space="preserve">. 1999;1473(1):4-8.</w:t>
      </w:r>
    </w:p>
    <w:p>
      <w:pPr>
        <w:pStyle w:val="BodyText"/>
      </w:pPr>
      <w:r>
        <w:t xml:space="preserve">[9] Pinho SS, Reis CA. Glycosylation in cancer: mechanisms and clinical implications.</w:t>
      </w:r>
      <w:r>
        <w:t xml:space="preserve"> </w:t>
      </w:r>
      <w:r>
        <w:rPr>
          <w:i/>
          <w:iCs/>
        </w:rPr>
        <w:t xml:space="preserve">Nat Rev Cancer</w:t>
      </w:r>
      <w:r>
        <w:t xml:space="preserve">. 2015;15(9):540-555.</w:t>
      </w:r>
    </w:p>
    <w:p>
      <w:pPr>
        <w:pStyle w:val="BodyText"/>
      </w:pPr>
      <w:r>
        <w:t xml:space="preserve">[10] Mehta AY, Cummings RD. Glycanmediated regulation of cell-cell communication in inflammation and cancer.</w:t>
      </w:r>
      <w:r>
        <w:t xml:space="preserve"> </w:t>
      </w:r>
      <w:r>
        <w:rPr>
          <w:i/>
          <w:iCs/>
        </w:rPr>
        <w:t xml:space="preserve">Glycobiology</w:t>
      </w:r>
      <w:r>
        <w:t xml:space="preserve">. 2023;33(5):428-439.</w:t>
      </w:r>
    </w:p>
    <w:p>
      <w:pPr>
        <w:pStyle w:val="BodyText"/>
      </w:pPr>
      <w:r>
        <w:t xml:space="preserve">[11] Bones J, Byrne JC, O’Donoghue N, et al. Glycomic and glycoproteomic analysis of serum from patients with thyroid cancer reveals potential biomarkers.</w:t>
      </w:r>
      <w:r>
        <w:t xml:space="preserve"> </w:t>
      </w:r>
      <w:r>
        <w:rPr>
          <w:i/>
          <w:iCs/>
        </w:rPr>
        <w:t xml:space="preserve">Cancers</w:t>
      </w:r>
      <w:r>
        <w:t xml:space="preserve">. 2018;10(10):395.</w:t>
      </w:r>
    </w:p>
    <w:p>
      <w:pPr>
        <w:pStyle w:val="BodyText"/>
      </w:pPr>
      <w:r>
        <w:t xml:space="preserve">[12] Büll C, Stoel MA, den Brok MH, Adema GJ. Sialic acids sweeten a tumor’s life.</w:t>
      </w:r>
      <w:r>
        <w:t xml:space="preserve"> </w:t>
      </w:r>
      <w:r>
        <w:rPr>
          <w:i/>
          <w:iCs/>
        </w:rPr>
        <w:t xml:space="preserve">Cancer Res</w:t>
      </w:r>
      <w:r>
        <w:t xml:space="preserve">. 2014;74(12):3199-3204.</w:t>
      </w:r>
    </w:p>
    <w:p>
      <w:pPr>
        <w:pStyle w:val="BodyText"/>
      </w:pPr>
      <w:r>
        <w:t xml:space="preserve">[13] Dennis JW, Nabi IR, Demetriou M. Metabolism, cell surface organization, and disease.</w:t>
      </w:r>
      <w:r>
        <w:t xml:space="preserve"> </w:t>
      </w:r>
      <w:r>
        <w:rPr>
          <w:i/>
          <w:iCs/>
        </w:rPr>
        <w:t xml:space="preserve">Cell</w:t>
      </w:r>
      <w:r>
        <w:t xml:space="preserve">. 2009;139(7):1229-1241.</w:t>
      </w:r>
    </w:p>
    <w:p>
      <w:pPr>
        <w:pStyle w:val="BodyText"/>
      </w:pPr>
      <w:r>
        <w:t xml:space="preserve">[14] Reiding KR, Ruhaak LR, Uh HW, et al. Human plasma N-glycosylation as analyzed by matrix-assisted laser desorption/ionization-fourier transform ion cyclotron resonance-MS associates with markers of inflammation and metabolic health.</w:t>
      </w:r>
      <w:r>
        <w:t xml:space="preserve"> </w:t>
      </w:r>
      <w:r>
        <w:rPr>
          <w:i/>
          <w:iCs/>
        </w:rPr>
        <w:t xml:space="preserve">Mol Cell Proteomics</w:t>
      </w:r>
      <w:r>
        <w:t xml:space="preserve">. 2017;16(2):228-242.</w:t>
      </w:r>
    </w:p>
    <w:p>
      <w:pPr>
        <w:pStyle w:val="BodyText"/>
      </w:pPr>
      <w:r>
        <w:t xml:space="preserve">[15] Gornik O, Lauc G. Glycosylation of serum proteins in inflammatory diseases.</w:t>
      </w:r>
      <w:r>
        <w:t xml:space="preserve"> </w:t>
      </w:r>
      <w:r>
        <w:rPr>
          <w:i/>
          <w:iCs/>
        </w:rPr>
        <w:t xml:space="preserve">Dis Markers</w:t>
      </w:r>
      <w:r>
        <w:t xml:space="preserve">. 2008;25(4-5):267-278.</w:t>
      </w:r>
    </w:p>
    <w:p>
      <w:pPr>
        <w:pStyle w:val="BodyText"/>
      </w:pPr>
      <w:r>
        <w:t xml:space="preserve">[16] Watanabe Y, Katayama T, Klamer BE, et al. GlycoPOST: a database of glycoproteomics.</w:t>
      </w:r>
      <w:r>
        <w:t xml:space="preserve"> </w:t>
      </w:r>
      <w:r>
        <w:rPr>
          <w:i/>
          <w:iCs/>
        </w:rPr>
        <w:t xml:space="preserve">Glycobiology</w:t>
      </w:r>
      <w:r>
        <w:t xml:space="preserve">. 2021;31(8):895-899.</w:t>
      </w:r>
    </w:p>
    <w:p>
      <w:pPr>
        <w:pStyle w:val="BodyText"/>
      </w:pPr>
      <w:r>
        <w:t xml:space="preserve">[17] Campbell MP, Peterson R, Mariethoz J, et al. UniCarbKB: building a knowledge platform for glycoproteomics.</w:t>
      </w:r>
      <w:r>
        <w:t xml:space="preserve"> </w:t>
      </w:r>
      <w:r>
        <w:rPr>
          <w:i/>
          <w:iCs/>
        </w:rPr>
        <w:t xml:space="preserve">Nucleic Acids Res</w:t>
      </w:r>
      <w:r>
        <w:t xml:space="preserve">. 2014;42(Database issue):D215-D221.</w:t>
      </w:r>
    </w:p>
    <w:p>
      <w:pPr>
        <w:pStyle w:val="BodyText"/>
      </w:pPr>
      <w:r>
        <w:t xml:space="preserve">[18] Togayachi A, Kono M, Kato K, et al. GlycoGene DataBase (GGDB).</w:t>
      </w:r>
      <w:r>
        <w:t xml:space="preserve"> </w:t>
      </w:r>
      <w:r>
        <w:rPr>
          <w:i/>
          <w:iCs/>
        </w:rPr>
        <w:t xml:space="preserve">Glycobiology</w:t>
      </w:r>
      <w:r>
        <w:t xml:space="preserve">. 2020;30(5):322-324.</w:t>
      </w:r>
    </w:p>
    <w:p>
      <w:pPr>
        <w:pStyle w:val="BodyText"/>
      </w:pPr>
      <w:r>
        <w:t xml:space="preserve">[19] Cancer Genome Atlas Research Network. Integrated genomic characterization of papillary thyroid carcinoma.</w:t>
      </w:r>
      <w:r>
        <w:t xml:space="preserve"> </w:t>
      </w:r>
      <w:r>
        <w:rPr>
          <w:i/>
          <w:iCs/>
        </w:rPr>
        <w:t xml:space="preserve">Cell</w:t>
      </w:r>
      <w:r>
        <w:t xml:space="preserve">. 2014;159(3):676-690.</w:t>
      </w:r>
    </w:p>
    <w:p>
      <w:pPr>
        <w:pStyle w:val="BodyText"/>
      </w:pPr>
      <w:r>
        <w:t xml:space="preserve">[20] Uhlen M, Fagerberg L, Hallström BM, et al. Tissue-based map of the human proteome.</w:t>
      </w:r>
      <w:r>
        <w:t xml:space="preserve"> </w:t>
      </w:r>
      <w:r>
        <w:rPr>
          <w:i/>
          <w:iCs/>
        </w:rPr>
        <w:t xml:space="preserve">Science</w:t>
      </w:r>
      <w:r>
        <w:t xml:space="preserve">. 2015;347(6220):1260419.</w:t>
      </w:r>
    </w:p>
    <w:p>
      <w:pPr>
        <w:pStyle w:val="BodyText"/>
      </w:pPr>
      <w:r>
        <w:t xml:space="preserve">[21] Ioannidis JPA. Why most published research findings are false.</w:t>
      </w:r>
      <w:r>
        <w:t xml:space="preserve"> </w:t>
      </w:r>
      <w:r>
        <w:rPr>
          <w:i/>
          <w:iCs/>
        </w:rPr>
        <w:t xml:space="preserve">PLoS Med</w:t>
      </w:r>
      <w:r>
        <w:t xml:space="preserve">. 2005;2(8):e124.</w:t>
      </w:r>
    </w:p>
    <w:p>
      <w:pPr>
        <w:pStyle w:val="BodyText"/>
      </w:pPr>
      <w:r>
        <w:t xml:space="preserve">[22] Page MJ, McKenzie JE, Bossuyt PM, et al. The PRISMA 2020 statement: an updated guideline for reporting systematic reviews.</w:t>
      </w:r>
      <w:r>
        <w:t xml:space="preserve"> </w:t>
      </w:r>
      <w:r>
        <w:rPr>
          <w:i/>
          <w:iCs/>
        </w:rPr>
        <w:t xml:space="preserve">BMJ</w:t>
      </w:r>
      <w:r>
        <w:t xml:space="preserve">. 2021;372:n71.</w:t>
      </w:r>
    </w:p>
    <w:p>
      <w:pPr>
        <w:pStyle w:val="BodyText"/>
      </w:pPr>
      <w:r>
        <w:t xml:space="preserve">[23] Wilkinson MD, Dumontier M, Aalbersberg IJ, et al. The FAIR Guiding Principles for scientific data management and stewardship.</w:t>
      </w:r>
      <w:r>
        <w:t xml:space="preserve"> </w:t>
      </w:r>
      <w:r>
        <w:rPr>
          <w:i/>
          <w:iCs/>
        </w:rPr>
        <w:t xml:space="preserve">Sci Data</w:t>
      </w:r>
      <w:r>
        <w:t xml:space="preserve">. 2016;3:160018.</w:t>
      </w:r>
    </w:p>
    <w:p>
      <w:pPr>
        <w:pStyle w:val="BodyText"/>
      </w:pPr>
      <w:r>
        <w:t xml:space="preserve">[25] Bones J, Mittermayr S, O’Donoghue N, et al. Identification of a novel, species-specific 3-O-sulfated galactose residue in thyroid carcinoma glycoproteins.</w:t>
      </w:r>
      <w:r>
        <w:t xml:space="preserve"> </w:t>
      </w:r>
      <w:r>
        <w:rPr>
          <w:i/>
          <w:iCs/>
        </w:rPr>
        <w:t xml:space="preserve">Cancers</w:t>
      </w:r>
      <w:r>
        <w:t xml:space="preserve">. 2018;10(10):395.</w:t>
      </w:r>
    </w:p>
    <w:p>
      <w:r>
        <w:pict>
          <v:rect style="width:0;height:1.5pt" o:hralign="center" o:hrstd="t" o:hr="t"/>
        </w:pict>
      </w:r>
    </w:p>
    <w:bookmarkEnd w:id="62"/>
    <w:bookmarkStart w:id="63" w:name="图表清单-figure-and-table-legends"/>
    <w:p>
      <w:pPr>
        <w:pStyle w:val="Heading2"/>
      </w:pPr>
      <w:r>
        <w:rPr>
          <w:rFonts w:hint="eastAsia"/>
        </w:rPr>
        <w:t xml:space="preserve">图表清单</w:t>
      </w:r>
      <w:r>
        <w:t xml:space="preserve"> (Figure and Table Legends)</w:t>
      </w:r>
    </w:p>
    <w:p>
      <w:pPr>
        <w:pStyle w:val="FirstParagraph"/>
      </w:pPr>
      <w:r>
        <w:rPr>
          <w:b/>
          <w:bCs/>
        </w:rPr>
        <w:t xml:space="preserve">Figure 1</w:t>
      </w:r>
      <w:r>
        <w:t xml:space="preserve"> </w:t>
      </w:r>
      <w:r>
        <w:t xml:space="preserve">Bibliometric overview of thyroid cancer glycosylation studies included in ThyGlycoPortal. (A) Annual publication counts; (B) Sample type distribution; (C) Cancer subtype coverage; (D) Analytical methodology distribution.</w:t>
      </w:r>
    </w:p>
    <w:p>
      <w:pPr>
        <w:pStyle w:val="BodyText"/>
      </w:pPr>
      <w:r>
        <w:rPr>
          <w:b/>
          <w:bCs/>
        </w:rPr>
        <w:t xml:space="preserve">Figure 2</w:t>
      </w:r>
      <w:r>
        <w:t xml:space="preserve"> </w:t>
      </w:r>
      <w:r>
        <w:t xml:space="preserve">Relational database schema of ThyGlycoPortal (3rd normal form). Solid arrows indicate foreign key relationships; dashed arrows indicate mapping from real-data extraction tables to the core schema. PK = primary key; FK = foreign key.</w:t>
      </w:r>
    </w:p>
    <w:p>
      <w:pPr>
        <w:pStyle w:val="BodyText"/>
      </w:pPr>
      <w:r>
        <w:rPr>
          <w:b/>
          <w:bCs/>
        </w:rPr>
        <w:t xml:space="preserve">Figure 3</w:t>
      </w:r>
      <w:r>
        <w:t xml:space="preserve"> </w:t>
      </w:r>
      <w:r>
        <w:t xml:space="preserve">Data curation and quality assurance workflow. From PubMed retrieval to final database ingestion, each stage has explicit inclusion/exclusion criteria and quality checkpoints.</w:t>
      </w:r>
    </w:p>
    <w:p>
      <w:pPr>
        <w:pStyle w:val="BodyText"/>
      </w:pPr>
      <w:r>
        <w:rPr>
          <w:b/>
          <w:bCs/>
        </w:rPr>
        <w:t xml:space="preserve">Figure 4</w:t>
      </w:r>
      <w:r>
        <w:t xml:space="preserve"> </w:t>
      </w:r>
      <w:r>
        <w:t xml:space="preserve">Glycosyltransferase-glycan regulatory network in thyroid cancer. Node size correlates with degree of literature support; edge colors indicate the type of chemical modification.</w:t>
      </w:r>
    </w:p>
    <w:p>
      <w:pPr>
        <w:pStyle w:val="BodyText"/>
      </w:pPr>
      <w:r>
        <w:rPr>
          <w:b/>
          <w:bCs/>
        </w:rPr>
        <w:t xml:space="preserve">Figure 5</w:t>
      </w:r>
      <w:r>
        <w:t xml:space="preserve"> </w:t>
      </w:r>
      <w:r>
        <w:t xml:space="preserve">Representative use cases of ThyGlycoPortal. (Top) Clinical decision support; (Middle) Cross-study glycan comparison; (Bottom) Multi-omics integration analysis. All use cases support CSV/JSON export and automated citation generation.</w:t>
      </w:r>
    </w:p>
    <w:p>
      <w:pPr>
        <w:pStyle w:val="BodyText"/>
      </w:pPr>
      <w:r>
        <w:rPr>
          <w:b/>
          <w:bCs/>
        </w:rPr>
        <w:t xml:space="preserve">Figure 6</w:t>
      </w:r>
      <w:r>
        <w:t xml:space="preserve"> </w:t>
      </w:r>
      <w:r>
        <w:t xml:space="preserve">(Left) Database content statistics for ThyGlycoPortal v1.0; (Right) Self-assessment of FAIR data principles (1–5 scale). Red dashed line indicates the minimum acceptable threshold (3.0).</w:t>
      </w:r>
    </w:p>
    <w:p>
      <w:pPr>
        <w:pStyle w:val="BodyText"/>
      </w:pPr>
      <w:r>
        <w:rPr>
          <w:b/>
          <w:bCs/>
        </w:rPr>
        <w:t xml:space="preserve">Table 1</w:t>
      </w:r>
      <w:r>
        <w:t xml:space="preserve"> </w:t>
      </w:r>
      <w:r>
        <w:t xml:space="preserve">Functional comparison of ThyGlycoPortal with existing glycomics and cancer databases.</w:t>
      </w:r>
    </w:p>
    <w:p>
      <w:r>
        <w:pict>
          <v:rect style="width:0;height:1.5pt" o:hralign="center" o:hrstd="t" o:hr="t"/>
        </w:pict>
      </w:r>
    </w:p>
    <w:p>
      <w:pPr>
        <w:pStyle w:val="FirstParagraph"/>
      </w:pPr>
      <w:r>
        <w:rPr>
          <w:i/>
          <w:iCs/>
        </w:rPr>
        <w:t xml:space="preserve">Supplementary Figures</w:t>
      </w:r>
      <w:r>
        <w:t xml:space="preserve"> </w:t>
      </w:r>
      <w:r>
        <w:t xml:space="preserve">(available upon request):</w:t>
      </w:r>
      <w:r>
        <w:t xml:space="preserve"> </w:t>
      </w:r>
      <w:r>
        <w:t xml:space="preserve">-</w:t>
      </w:r>
      <w:r>
        <w:t xml:space="preserve"> </w:t>
      </w:r>
      <w:r>
        <w:rPr>
          <w:b/>
          <w:bCs/>
        </w:rPr>
        <w:t xml:space="preserve">Supplementary Figure 1</w:t>
      </w:r>
      <w:r>
        <w:t xml:space="preserve"> </w:t>
      </w:r>
      <w:r>
        <w:t xml:space="preserve">Differential expression of glycosyltransferases in TCGA-THCA (Bones et al. 2018).</w:t>
      </w:r>
      <w:r>
        <w:t xml:space="preserve"> </w:t>
      </w:r>
      <w:r>
        <w:t xml:space="preserve">-</w:t>
      </w:r>
      <w:r>
        <w:t xml:space="preserve"> </w:t>
      </w:r>
      <w:r>
        <w:rPr>
          <w:b/>
          <w:bCs/>
        </w:rPr>
        <w:t xml:space="preserve">Supplementary Figure 2</w:t>
      </w:r>
      <w:r>
        <w:t xml:space="preserve"> </w:t>
      </w:r>
      <w:r>
        <w:t xml:space="preserve">Summary of glycosylation alteration patterns across five core studies.</w:t>
      </w:r>
      <w:r>
        <w:t xml:space="preserve"> </w:t>
      </w:r>
      <w:r>
        <w:t xml:space="preserve">-</w:t>
      </w:r>
      <w:r>
        <w:t xml:space="preserve"> </w:t>
      </w:r>
      <w:r>
        <w:rPr>
          <w:b/>
          <w:bCs/>
        </w:rPr>
        <w:t xml:space="preserve">Supplementary Figure 3</w:t>
      </w:r>
      <w:r>
        <w:t xml:space="preserve"> </w:t>
      </w:r>
      <w:r>
        <w:t xml:space="preserve">Diagnostic performance comparison of reported glycosylation biomarkers.</w:t>
      </w:r>
      <w:r>
        <w:t xml:space="preserve"> </w:t>
      </w:r>
      <w:r>
        <w:t xml:space="preserve">-</w:t>
      </w:r>
      <w:r>
        <w:t xml:space="preserve"> </w:t>
      </w:r>
      <w:r>
        <w:rPr>
          <w:b/>
          <w:bCs/>
        </w:rPr>
        <w:t xml:space="preserve">Supplementary Table 1</w:t>
      </w:r>
      <w:r>
        <w:t xml:space="preserve"> </w:t>
      </w:r>
      <w:r>
        <w:t xml:space="preserve">Detailed characteristics of all 11 included studies.</w:t>
      </w:r>
      <w:r>
        <w:t xml:space="preserve"> </w:t>
      </w:r>
      <w:r>
        <w:t xml:space="preserve">-</w:t>
      </w:r>
      <w:r>
        <w:t xml:space="preserve"> </w:t>
      </w:r>
      <w:r>
        <w:rPr>
          <w:b/>
          <w:bCs/>
        </w:rPr>
        <w:t xml:space="preserve">Supplementary Table 2</w:t>
      </w:r>
      <w:r>
        <w:t xml:space="preserve"> </w:t>
      </w:r>
      <w:r>
        <w:t xml:space="preserve">Complete data extraction form template.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2026-05-01T12:16:23Z</dcterms:created>
  <dcterms:modified xsi:type="dcterms:W3CDTF">2026-05-01T12:16:23Z</dcterms:modified>
</cp:coreProperties>
</file>

<file path=docProps/custom.xml><?xml version="1.0" encoding="utf-8"?>
<Properties xmlns="http://schemas.openxmlformats.org/officeDocument/2006/custom-properties" xmlns:vt="http://schemas.openxmlformats.org/officeDocument/2006/docPropsVTypes"/>
</file>